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8C36" w14:textId="69374B55" w:rsidR="00365BE8" w:rsidRPr="00003737" w:rsidRDefault="00365BE8" w:rsidP="00365BE8">
      <w:pPr>
        <w:rPr>
          <w:b/>
          <w:bCs/>
          <w:sz w:val="28"/>
          <w:szCs w:val="28"/>
        </w:rPr>
      </w:pPr>
      <w:r w:rsidRPr="00003737">
        <w:rPr>
          <w:b/>
          <w:bCs/>
          <w:sz w:val="28"/>
          <w:szCs w:val="28"/>
        </w:rPr>
        <w:t>Innendämmung</w:t>
      </w:r>
      <w:r w:rsidR="00003737" w:rsidRPr="00003737">
        <w:rPr>
          <w:b/>
          <w:bCs/>
          <w:sz w:val="28"/>
          <w:szCs w:val="28"/>
        </w:rPr>
        <w:t>? Ja, bitte!</w:t>
      </w:r>
      <w:r w:rsidRPr="00003737">
        <w:rPr>
          <w:b/>
          <w:bCs/>
          <w:sz w:val="28"/>
          <w:szCs w:val="28"/>
        </w:rPr>
        <w:t xml:space="preserve"> </w:t>
      </w:r>
    </w:p>
    <w:p w14:paraId="02EAE2E4" w14:textId="2823F01B" w:rsidR="00365BE8" w:rsidRDefault="00003737" w:rsidP="00365BE8">
      <w:pPr>
        <w:rPr>
          <w:b/>
          <w:bCs/>
        </w:rPr>
      </w:pPr>
      <w:r w:rsidRPr="00365BE8">
        <w:rPr>
          <w:b/>
          <w:bCs/>
        </w:rPr>
        <w:t>Die nachhaltige Lösung für Bestandsgebäude</w:t>
      </w:r>
    </w:p>
    <w:p w14:paraId="0412F54E" w14:textId="5385E401" w:rsidR="000F2CB2" w:rsidRPr="000F2CB2" w:rsidRDefault="000F2CB2" w:rsidP="00365BE8">
      <w:pPr>
        <w:rPr>
          <w:i/>
          <w:iCs/>
        </w:rPr>
      </w:pPr>
      <w:r w:rsidRPr="000F2CB2">
        <w:rPr>
          <w:i/>
          <w:iCs/>
        </w:rPr>
        <w:t>Autorin: Prof. Dr.-Ing. Sylvia Stürmer, HTWG Konstanz</w:t>
      </w:r>
    </w:p>
    <w:p w14:paraId="3FD48B78" w14:textId="2EE4E6AF" w:rsidR="00365BE8" w:rsidRPr="00365BE8" w:rsidRDefault="00365BE8" w:rsidP="00365BE8">
      <w:r w:rsidRPr="00365BE8">
        <w:t>Angesichts der ambitionierten Klimaziele Deutschlands steht die Sanierung von Bestandsgebäuden im Vordergrund. Insgesamt sind rund 1,8 Milliarden Quadratmeter Fassadenfläche energetisch zu sanieren. Doch für 15 bis 20 % der Fassadenfläche kommt eine Außendämmung aufgrund von Grundstücksgrenzen, Denkmalschutzauflagen, Brandschutzregul</w:t>
      </w:r>
      <w:r w:rsidR="00A26D9C">
        <w:t>ari</w:t>
      </w:r>
      <w:r w:rsidRPr="00365BE8">
        <w:t>en oder persönlichen Präferenzen der Eigentümer nicht in Frage. Hier bietet sich die Innendämmung als sinnvolle Alternative an.</w:t>
      </w:r>
    </w:p>
    <w:p w14:paraId="57F757DE" w14:textId="3F2FE6A8" w:rsidR="00365BE8" w:rsidRPr="00365BE8" w:rsidRDefault="00AB1C79" w:rsidP="00365BE8">
      <w:pPr>
        <w:rPr>
          <w:b/>
          <w:bCs/>
        </w:rPr>
      </w:pPr>
      <w:r w:rsidRPr="00AB1C79">
        <w:rPr>
          <w:b/>
          <w:bCs/>
        </w:rPr>
        <w:t>Außendämmung oder Innendämmung?</w:t>
      </w:r>
    </w:p>
    <w:p w14:paraId="46F2D609" w14:textId="4EB13026" w:rsidR="00365BE8" w:rsidRPr="00365BE8" w:rsidRDefault="00AB1C79" w:rsidP="00365BE8">
      <w:r w:rsidRPr="00EA3ACB">
        <w:t>Außendämmungen sind bewährt und bieten zahlreiche Vorteile,</w:t>
      </w:r>
      <w:r w:rsidR="00365BE8" w:rsidRPr="00365BE8">
        <w:t xml:space="preserve"> </w:t>
      </w:r>
      <w:r>
        <w:t xml:space="preserve">können aber </w:t>
      </w:r>
      <w:r w:rsidR="00365BE8" w:rsidRPr="00365BE8">
        <w:t xml:space="preserve">nur unter bestimmten Witterungsbedingungen </w:t>
      </w:r>
      <w:r w:rsidR="00685C18">
        <w:t>applizie</w:t>
      </w:r>
      <w:r w:rsidR="00365BE8" w:rsidRPr="00365BE8">
        <w:t>rt werden</w:t>
      </w:r>
      <w:r w:rsidR="00685C18">
        <w:t xml:space="preserve">. </w:t>
      </w:r>
      <w:r w:rsidR="00A26D9C" w:rsidRPr="00A26D9C">
        <w:t>Darüber hinaus erfordern sie einen dauerhaften Witterungsschutz, um den Dämmstoff und die Tragwerke trocken zu halten. Demgegenüber ist Innendämmung in Ausführung und Anwendung wetterunabhängig</w:t>
      </w:r>
      <w:r w:rsidR="00A26D9C">
        <w:t>.</w:t>
      </w:r>
      <w:r w:rsidR="00365BE8" w:rsidRPr="00365BE8">
        <w:t xml:space="preserve"> Zudem bleibt das äußere Erscheinungsbild des Gebäudes unverändert – ein großer Vorteil, insbesondere bei historischen oder denkmalgeschützten Objekten.</w:t>
      </w:r>
      <w:r w:rsidR="00685C18">
        <w:t xml:space="preserve"> Ebenfalls wichtig: innengedämmte</w:t>
      </w:r>
      <w:r w:rsidR="00685C18" w:rsidRPr="00EA3ACB">
        <w:t xml:space="preserve"> Räume </w:t>
      </w:r>
      <w:r w:rsidR="00685C18">
        <w:t xml:space="preserve">lassen sich </w:t>
      </w:r>
      <w:r w:rsidR="00685C18" w:rsidRPr="00EA3ACB">
        <w:t>schneller aufheizen, was insbesondere für zeitweise genutzte Gebäude</w:t>
      </w:r>
      <w:r w:rsidR="00685C18">
        <w:t>,</w:t>
      </w:r>
      <w:r w:rsidR="00685C18" w:rsidRPr="00EA3ACB">
        <w:t xml:space="preserve"> wie Ferienhäuser oder Versammlungsstätten</w:t>
      </w:r>
      <w:r w:rsidR="00685C18">
        <w:t>,</w:t>
      </w:r>
      <w:r w:rsidR="00685C18" w:rsidRPr="00EA3ACB">
        <w:t xml:space="preserve"> von Vorteil ist.</w:t>
      </w:r>
      <w:r w:rsidR="00A93145">
        <w:t xml:space="preserve"> </w:t>
      </w:r>
      <w:r w:rsidR="00A93145" w:rsidRPr="00A93145">
        <w:t>D</w:t>
      </w:r>
      <w:r w:rsidR="00A93145">
        <w:t>erartig</w:t>
      </w:r>
      <w:r w:rsidR="00A93145" w:rsidRPr="00A93145">
        <w:t>e Räume profitieren von der schnellen Erwärmung des Luftvolumens, ohne dass die Bausubstanz aufgeheizt werden muss.</w:t>
      </w:r>
    </w:p>
    <w:p w14:paraId="6D09F0CE" w14:textId="77777777" w:rsidR="00365BE8" w:rsidRPr="00365BE8" w:rsidRDefault="00365BE8" w:rsidP="00365BE8">
      <w:pPr>
        <w:rPr>
          <w:b/>
          <w:bCs/>
        </w:rPr>
      </w:pPr>
      <w:r w:rsidRPr="00365BE8">
        <w:rPr>
          <w:b/>
          <w:bCs/>
        </w:rPr>
        <w:t>Materialtechnische Möglichkeiten und Herausforderungen</w:t>
      </w:r>
    </w:p>
    <w:p w14:paraId="3168115D" w14:textId="2AAC1BEC" w:rsidR="00365BE8" w:rsidRPr="00365BE8" w:rsidRDefault="00365BE8" w:rsidP="00365BE8">
      <w:r w:rsidRPr="00365BE8">
        <w:t>Innendämmungen waren lange Zeit mit Vorbehalten behaftet, insbesondere hinsichtlich der Wärmedämmwirkung</w:t>
      </w:r>
      <w:r w:rsidR="00234D2B">
        <w:t>.</w:t>
      </w:r>
      <w:r w:rsidRPr="00365BE8">
        <w:t xml:space="preserve"> </w:t>
      </w:r>
      <w:r w:rsidR="00234D2B">
        <w:t xml:space="preserve">Auch </w:t>
      </w:r>
      <w:r w:rsidR="00234D2B" w:rsidRPr="00EA3ACB">
        <w:t xml:space="preserve">Unsicherheiten hinsichtlich </w:t>
      </w:r>
      <w:r w:rsidR="00234D2B">
        <w:t xml:space="preserve">des </w:t>
      </w:r>
      <w:r w:rsidR="00234D2B" w:rsidRPr="00EA3ACB">
        <w:t>Feuchtetransport</w:t>
      </w:r>
      <w:r w:rsidR="00A26D9C">
        <w:t>s</w:t>
      </w:r>
      <w:r w:rsidR="00234D2B">
        <w:t xml:space="preserve"> und, oft einhergehend,</w:t>
      </w:r>
      <w:r w:rsidR="00234D2B" w:rsidRPr="00365BE8">
        <w:t xml:space="preserve"> </w:t>
      </w:r>
      <w:r w:rsidRPr="00365BE8">
        <w:t>des Schimmelrisikos</w:t>
      </w:r>
      <w:r w:rsidR="00234D2B">
        <w:t xml:space="preserve"> verstärkten Zweifel</w:t>
      </w:r>
      <w:r w:rsidRPr="00365BE8">
        <w:t xml:space="preserve">. </w:t>
      </w:r>
      <w:r w:rsidR="00A26D9C" w:rsidRPr="00A26D9C">
        <w:t>Durch innovative materialtechnische Entwicklungen und deren erfolgreicher Anwendung konnten viele dieser Bedenken ausgeräumt werden. Moderne Kondensat tol</w:t>
      </w:r>
      <w:r w:rsidR="00A26D9C">
        <w:t>er</w:t>
      </w:r>
      <w:r w:rsidR="00A26D9C" w:rsidRPr="00A26D9C">
        <w:t>ierende Systeme bieten sicherere Lösungen</w:t>
      </w:r>
      <w:r w:rsidRPr="00365BE8">
        <w:t>, indem sie Feuchtigkeit regulieren und so das Risiko von Feuchteschäden minimieren.</w:t>
      </w:r>
    </w:p>
    <w:p w14:paraId="38A55014" w14:textId="7C0A7E47" w:rsidR="00365BE8" w:rsidRPr="00365BE8" w:rsidRDefault="00365BE8" w:rsidP="00365BE8">
      <w:r w:rsidRPr="00365BE8">
        <w:t>Traditionell w</w:t>
      </w:r>
      <w:r w:rsidR="00234D2B">
        <w:t>u</w:t>
      </w:r>
      <w:r w:rsidRPr="00365BE8">
        <w:t xml:space="preserve">rden </w:t>
      </w:r>
      <w:r w:rsidR="00234D2B">
        <w:t>z. B. Innen</w:t>
      </w:r>
      <w:r w:rsidRPr="00365BE8">
        <w:t xml:space="preserve">dämmungen mit Unterkonstruktionen und Dampfbremse eingesetzt. </w:t>
      </w:r>
      <w:r w:rsidR="00A26D9C" w:rsidRPr="00A26D9C">
        <w:t>Sie sind vergleichsweise materialaufwendig und funktionieren nur bei präziser Verarbeitung zuverlässig. Kondensat tol</w:t>
      </w:r>
      <w:r w:rsidR="00A26D9C">
        <w:t>er</w:t>
      </w:r>
      <w:r w:rsidR="00A26D9C" w:rsidRPr="00A26D9C">
        <w:t xml:space="preserve">ierende Systeme kommen ohne Unterkonstruktion und Dampfbremse aus und ermöglichen </w:t>
      </w:r>
      <w:r w:rsidR="00A26D9C">
        <w:t>– v</w:t>
      </w:r>
      <w:r w:rsidR="00A26D9C" w:rsidRPr="00A26D9C">
        <w:t>ollflächig mit angepasste</w:t>
      </w:r>
      <w:r w:rsidR="00A26D9C">
        <w:t>m</w:t>
      </w:r>
      <w:r w:rsidR="00A26D9C" w:rsidRPr="00A26D9C">
        <w:t xml:space="preserve"> kapillaraktive</w:t>
      </w:r>
      <w:r w:rsidR="00C90268">
        <w:t>m</w:t>
      </w:r>
      <w:r w:rsidR="00A26D9C" w:rsidRPr="00A26D9C">
        <w:t xml:space="preserve"> Kleber verklebt </w:t>
      </w:r>
      <w:r w:rsidR="00A26D9C">
        <w:t>– e</w:t>
      </w:r>
      <w:r w:rsidR="00A26D9C" w:rsidRPr="00A26D9C">
        <w:t>ine verbesserte Feuchtigkeitsregulierung.</w:t>
      </w:r>
    </w:p>
    <w:p w14:paraId="38FDE0DD" w14:textId="41AF7F4A" w:rsidR="00365BE8" w:rsidRPr="00365BE8" w:rsidRDefault="00365BE8" w:rsidP="00365BE8">
      <w:pPr>
        <w:rPr>
          <w:b/>
          <w:bCs/>
        </w:rPr>
      </w:pPr>
      <w:r w:rsidRPr="00365BE8">
        <w:rPr>
          <w:b/>
          <w:bCs/>
        </w:rPr>
        <w:t xml:space="preserve">Beispiel: Innovatives Innendämmsystem </w:t>
      </w:r>
      <w:r w:rsidR="00A31657">
        <w:rPr>
          <w:b/>
          <w:bCs/>
        </w:rPr>
        <w:t>Heck Inneo</w:t>
      </w:r>
    </w:p>
    <w:p w14:paraId="7EA85C2B" w14:textId="648EFBF4" w:rsidR="00365BE8" w:rsidRPr="00365BE8" w:rsidRDefault="00365BE8" w:rsidP="00365BE8">
      <w:r w:rsidRPr="00365BE8">
        <w:t xml:space="preserve">Ein aktuelles Beispiel für ein solches System ist </w:t>
      </w:r>
      <w:r w:rsidR="00A31657">
        <w:t>Heck Inneo auf Basis der</w:t>
      </w:r>
      <w:r w:rsidRPr="00365BE8">
        <w:t xml:space="preserve"> </w:t>
      </w:r>
      <w:r w:rsidR="00234D2B">
        <w:t>Steinwolle</w:t>
      </w:r>
      <w:r w:rsidRPr="00365BE8">
        <w:t>-Innendämmplatte H</w:t>
      </w:r>
      <w:r w:rsidR="00A31657">
        <w:t>eck</w:t>
      </w:r>
      <w:r w:rsidRPr="00365BE8">
        <w:t xml:space="preserve"> Comfortrock ID. Diese Platten </w:t>
      </w:r>
      <w:r w:rsidR="00A26D9C" w:rsidRPr="00A26D9C">
        <w:t xml:space="preserve">sind </w:t>
      </w:r>
      <w:r w:rsidR="00A26D9C">
        <w:t>– a</w:t>
      </w:r>
      <w:r w:rsidR="00A26D9C" w:rsidRPr="00A26D9C">
        <w:t xml:space="preserve">nders als Steinwolleplatten für außen </w:t>
      </w:r>
      <w:r w:rsidR="00A26D9C">
        <w:t>– s</w:t>
      </w:r>
      <w:r w:rsidR="00A26D9C" w:rsidRPr="00A26D9C">
        <w:t>augend und verfügen über eine, für Innendämmplatten besonders geringe</w:t>
      </w:r>
      <w:r w:rsidR="00A26D9C">
        <w:t>,</w:t>
      </w:r>
      <w:r w:rsidR="00A26D9C" w:rsidRPr="00A26D9C">
        <w:t xml:space="preserve"> Wärmeleitfähigkeit</w:t>
      </w:r>
      <w:r w:rsidRPr="00365BE8">
        <w:t xml:space="preserve"> von 0,035 W/mK</w:t>
      </w:r>
      <w:r w:rsidR="00234D2B">
        <w:t>.</w:t>
      </w:r>
      <w:r w:rsidRPr="00365BE8">
        <w:t xml:space="preserve"> </w:t>
      </w:r>
      <w:r w:rsidR="00234D2B">
        <w:t>Dies</w:t>
      </w:r>
      <w:r w:rsidRPr="00365BE8">
        <w:t xml:space="preserve"> ermöglich</w:t>
      </w:r>
      <w:r w:rsidR="00234D2B">
        <w:t>t</w:t>
      </w:r>
      <w:r w:rsidRPr="00365BE8">
        <w:t xml:space="preserve"> eine schlanke Bauweise</w:t>
      </w:r>
      <w:r w:rsidR="00A26D9C" w:rsidRPr="00A26D9C">
        <w:t xml:space="preserve"> </w:t>
      </w:r>
      <w:r w:rsidR="00A26D9C">
        <w:t>und s</w:t>
      </w:r>
      <w:r w:rsidR="00A26D9C" w:rsidRPr="000D720B">
        <w:t>icher</w:t>
      </w:r>
      <w:r w:rsidR="00A26D9C">
        <w:t xml:space="preserve">t </w:t>
      </w:r>
      <w:r w:rsidR="00A26D9C" w:rsidRPr="000D720B">
        <w:t xml:space="preserve"> </w:t>
      </w:r>
      <w:r w:rsidR="00A26D9C">
        <w:t>den notwendigen</w:t>
      </w:r>
      <w:r w:rsidR="00A26D9C" w:rsidRPr="000D720B">
        <w:t xml:space="preserve"> Wärmeschutz</w:t>
      </w:r>
      <w:r w:rsidR="00A26D9C">
        <w:t xml:space="preserve"> </w:t>
      </w:r>
      <w:r w:rsidR="00A26D9C" w:rsidRPr="00365BE8">
        <w:t xml:space="preserve"> </w:t>
      </w:r>
      <w:r w:rsidR="00A26D9C">
        <w:t xml:space="preserve">bei minimalem </w:t>
      </w:r>
      <w:r w:rsidR="00A26D9C" w:rsidRPr="00365BE8">
        <w:t>Innenraumverlust.</w:t>
      </w:r>
      <w:r w:rsidRPr="00365BE8">
        <w:t xml:space="preserve"> </w:t>
      </w:r>
      <w:r w:rsidR="00234D2B">
        <w:t>Die Platten</w:t>
      </w:r>
      <w:r w:rsidRPr="00365BE8">
        <w:t xml:space="preserve"> sind beidseitig vlieskaschiert, nicht brennbar (Baustoffklasse A1) und in Dicken von 30 mm und 60 mm erhältlich.</w:t>
      </w:r>
    </w:p>
    <w:p w14:paraId="1BE4CE51" w14:textId="77777777" w:rsidR="00365BE8" w:rsidRPr="00365BE8" w:rsidRDefault="00365BE8" w:rsidP="00365BE8">
      <w:pPr>
        <w:rPr>
          <w:b/>
          <w:bCs/>
        </w:rPr>
      </w:pPr>
      <w:r w:rsidRPr="00365BE8">
        <w:rPr>
          <w:b/>
          <w:bCs/>
        </w:rPr>
        <w:t>Verarbeitung und praktische Tipps</w:t>
      </w:r>
    </w:p>
    <w:p w14:paraId="33CBB419" w14:textId="079F1549" w:rsidR="00365BE8" w:rsidRPr="00365BE8" w:rsidRDefault="00A26D9C" w:rsidP="00365BE8">
      <w:r w:rsidRPr="00A26D9C">
        <w:lastRenderedPageBreak/>
        <w:t>Die direkte Verklebung auf dem Untergrund ohne Grundierung ermöglich</w:t>
      </w:r>
      <w:r w:rsidR="00BF4E0C">
        <w:t>t</w:t>
      </w:r>
      <w:r w:rsidRPr="00A26D9C">
        <w:t xml:space="preserve"> eine zeit- und materialsparende</w:t>
      </w:r>
      <w:r>
        <w:t>,</w:t>
      </w:r>
      <w:r w:rsidRPr="00A26D9C">
        <w:t xml:space="preserve"> einfache Verarbeitung der Heck Comfortrock ID-Platten. Durch problemloses Zuschneiden mit dem Cuttermesser können diese Dämmplatten auch bei Rundungen</w:t>
      </w:r>
      <w:r>
        <w:t>,</w:t>
      </w:r>
      <w:r w:rsidRPr="00A26D9C">
        <w:t xml:space="preserve"> wie Rundbogenfenster</w:t>
      </w:r>
      <w:r>
        <w:t>,</w:t>
      </w:r>
      <w:r w:rsidRPr="00A26D9C">
        <w:t xml:space="preserve"> verwende</w:t>
      </w:r>
      <w:r>
        <w:t>t werde</w:t>
      </w:r>
      <w:r w:rsidRPr="00A26D9C">
        <w:t>n.</w:t>
      </w:r>
      <w:r w:rsidR="00365BE8" w:rsidRPr="00365BE8">
        <w:t xml:space="preserve"> Für wärmebrückenkritische Bereiche, wie Fensterl</w:t>
      </w:r>
      <w:r>
        <w:t>a</w:t>
      </w:r>
      <w:r w:rsidR="00365BE8" w:rsidRPr="00365BE8">
        <w:t xml:space="preserve">ibungen, bietet sich der Einsatz </w:t>
      </w:r>
      <w:r w:rsidRPr="00A26D9C">
        <w:t xml:space="preserve">von mineralischen Dämmputzen wie </w:t>
      </w:r>
      <w:r w:rsidR="00A31657">
        <w:t>Heck</w:t>
      </w:r>
      <w:r w:rsidR="00365BE8" w:rsidRPr="00365BE8">
        <w:t xml:space="preserve"> A</w:t>
      </w:r>
      <w:r w:rsidR="00A31657">
        <w:t>ero</w:t>
      </w:r>
      <w:r w:rsidR="00365BE8" w:rsidRPr="00365BE8">
        <w:t xml:space="preserve"> iP an, die die Wärme</w:t>
      </w:r>
      <w:r>
        <w:t xml:space="preserve">dämmung </w:t>
      </w:r>
      <w:r w:rsidR="00365BE8" w:rsidRPr="00365BE8">
        <w:t>weiter optimieren und Wärmebrücken vermeiden.</w:t>
      </w:r>
    </w:p>
    <w:p w14:paraId="28C8DF2D" w14:textId="1B46E605" w:rsidR="00365BE8" w:rsidRPr="00365BE8" w:rsidRDefault="00A31657" w:rsidP="00365BE8">
      <w:pPr>
        <w:rPr>
          <w:b/>
          <w:bCs/>
        </w:rPr>
      </w:pPr>
      <w:r>
        <w:rPr>
          <w:b/>
          <w:bCs/>
        </w:rPr>
        <w:t xml:space="preserve">Gefahr bei </w:t>
      </w:r>
      <w:r w:rsidR="00365BE8" w:rsidRPr="00365BE8">
        <w:rPr>
          <w:b/>
          <w:bCs/>
        </w:rPr>
        <w:t>Feuchte- und Salzbelastung</w:t>
      </w:r>
    </w:p>
    <w:p w14:paraId="3D268EC0" w14:textId="7B05EB8B" w:rsidR="00365BE8" w:rsidRPr="00365BE8" w:rsidRDefault="00A31657" w:rsidP="00365BE8">
      <w:r w:rsidRPr="00EA3ACB">
        <w:t xml:space="preserve">Eine erfolgreiche Innendämmung setzt eine gründliche Bestandsaufnahme </w:t>
      </w:r>
      <w:r w:rsidR="000F2CB2" w:rsidRPr="00365BE8">
        <w:t>der vorhandenen Bausubstanz</w:t>
      </w:r>
      <w:r w:rsidR="000F2CB2" w:rsidRPr="00EA3ACB">
        <w:t xml:space="preserve"> </w:t>
      </w:r>
      <w:r w:rsidRPr="00EA3ACB">
        <w:t xml:space="preserve">voraus. </w:t>
      </w:r>
      <w:r w:rsidR="00046C4B" w:rsidRPr="00046C4B">
        <w:t>Dazu gehören Bauweise</w:t>
      </w:r>
      <w:r w:rsidR="00046C4B">
        <w:t xml:space="preserve"> und</w:t>
      </w:r>
      <w:r w:rsidR="00046C4B" w:rsidRPr="00046C4B">
        <w:t xml:space="preserve"> Klimarandbedingungen</w:t>
      </w:r>
      <w:r w:rsidR="00046C4B">
        <w:t>,</w:t>
      </w:r>
      <w:r w:rsidR="00046C4B" w:rsidRPr="00046C4B">
        <w:t xml:space="preserve"> u.a.</w:t>
      </w:r>
      <w:r w:rsidRPr="00EA3ACB">
        <w:t xml:space="preserve"> Feuchtelast und Nutzungskonzept.</w:t>
      </w:r>
      <w:r w:rsidR="00365BE8" w:rsidRPr="00365BE8">
        <w:t xml:space="preserve"> </w:t>
      </w:r>
      <w:r w:rsidRPr="00A31657">
        <w:t>Kritische Untergründe wie Gips- oder Lehmputze können Probleme verursachen und müssen in vielen Fällen entfernt werden. Auch Anschlüsse an Fenster- und Türl</w:t>
      </w:r>
      <w:r>
        <w:t>a</w:t>
      </w:r>
      <w:r w:rsidRPr="00A31657">
        <w:t>ibungen sind sorgfältig zu planen, um Wärmebrücken zu minimieren.</w:t>
      </w:r>
      <w:r>
        <w:t xml:space="preserve"> </w:t>
      </w:r>
      <w:r w:rsidR="00365BE8" w:rsidRPr="00365BE8">
        <w:t xml:space="preserve">Besonders </w:t>
      </w:r>
      <w:r w:rsidR="00046C4B">
        <w:t xml:space="preserve">problematisch sind </w:t>
      </w:r>
      <w:r w:rsidR="00365BE8" w:rsidRPr="00365BE8">
        <w:t>feuchte- und salzbelastete Untergründen</w:t>
      </w:r>
      <w:r w:rsidR="00046C4B" w:rsidRPr="00046C4B">
        <w:t xml:space="preserve"> Hier können </w:t>
      </w:r>
      <w:r w:rsidR="00046C4B">
        <w:t>unter Umständen</w:t>
      </w:r>
      <w:r w:rsidR="00046C4B" w:rsidRPr="00046C4B">
        <w:t xml:space="preserve"> – nach entsprechender Voruntersuchung – geeignete WTA-Sanierputzsysteme eingesetzt werden</w:t>
      </w:r>
      <w:r w:rsidR="00365BE8" w:rsidRPr="00365BE8">
        <w:t xml:space="preserve">. Sanierputzsysteme haben sich aufgrund ihrer porenreichen, feuchtigkeitsregulierenden Eigenschaften bewährt und </w:t>
      </w:r>
      <w:r w:rsidR="00046C4B" w:rsidRPr="00046C4B">
        <w:t>tragen mit ihrer, aufgrund des hohen Porengehaltes reduzierten Wärmeleitfähigkeit</w:t>
      </w:r>
      <w:r w:rsidR="00046C4B">
        <w:t>,</w:t>
      </w:r>
      <w:r w:rsidR="00046C4B" w:rsidRPr="00046C4B">
        <w:t xml:space="preserve"> zur </w:t>
      </w:r>
      <w:r w:rsidR="00365BE8" w:rsidRPr="00365BE8">
        <w:t>Vermeidung von Schimmel und Feuchteschäden bei.</w:t>
      </w:r>
    </w:p>
    <w:p w14:paraId="0B3F2795" w14:textId="77777777" w:rsidR="00365BE8" w:rsidRPr="00365BE8" w:rsidRDefault="00365BE8" w:rsidP="00365BE8">
      <w:pPr>
        <w:rPr>
          <w:b/>
          <w:bCs/>
        </w:rPr>
      </w:pPr>
      <w:r w:rsidRPr="00365BE8">
        <w:rPr>
          <w:b/>
          <w:bCs/>
        </w:rPr>
        <w:t>Fazit</w:t>
      </w:r>
    </w:p>
    <w:p w14:paraId="5029537C" w14:textId="0E6DD330" w:rsidR="00FF4AE8" w:rsidRDefault="00046C4B">
      <w:r w:rsidRPr="00046C4B">
        <w:t>Hochwertige mineralische Innendämmungen bieten nachhaltige Lösungen zur energetischen Verbesserung von Bestandsgebäuden</w:t>
      </w:r>
      <w:r w:rsidR="00365BE8" w:rsidRPr="00365BE8">
        <w:t>. Innovative</w:t>
      </w:r>
      <w:r>
        <w:t>, Kondensat tolerierende</w:t>
      </w:r>
      <w:r w:rsidR="00365BE8" w:rsidRPr="00365BE8">
        <w:t xml:space="preserve"> Systeme wie </w:t>
      </w:r>
      <w:r w:rsidR="00A31657">
        <w:t>Heck Inneo</w:t>
      </w:r>
      <w:r w:rsidR="00365BE8" w:rsidRPr="00365BE8">
        <w:t xml:space="preserve"> </w:t>
      </w:r>
      <w:r w:rsidRPr="00046C4B">
        <w:t>sind einfach</w:t>
      </w:r>
      <w:r>
        <w:t xml:space="preserve"> und</w:t>
      </w:r>
      <w:r w:rsidRPr="00046C4B">
        <w:t xml:space="preserve"> ohne Eingriffe in die tragende Bausubstanz zu verarbeiten</w:t>
      </w:r>
      <w:r w:rsidR="00365BE8" w:rsidRPr="00365BE8">
        <w:t xml:space="preserve">. </w:t>
      </w:r>
      <w:r w:rsidRPr="00046C4B">
        <w:t xml:space="preserve">Sie sind reversibel </w:t>
      </w:r>
      <w:r>
        <w:t>sowie</w:t>
      </w:r>
      <w:r w:rsidRPr="00046C4B">
        <w:t xml:space="preserve"> thermisch und feuchtetechnisch leistungsfähig.</w:t>
      </w:r>
      <w:r>
        <w:t xml:space="preserve"> </w:t>
      </w:r>
      <w:r w:rsidRPr="00046C4B">
        <w:t>Entge</w:t>
      </w:r>
      <w:r>
        <w:t>gen</w:t>
      </w:r>
      <w:r w:rsidRPr="00046C4B">
        <w:t xml:space="preserve"> der eingangs erwähnten Vorbehalte sind sie eine wertvolle Alternative zu Außendämmungen</w:t>
      </w:r>
      <w:r>
        <w:t>,</w:t>
      </w:r>
      <w:r w:rsidRPr="00046C4B">
        <w:t xml:space="preserve"> insbesondere für denkmalgeschützte Gebäude.</w:t>
      </w:r>
    </w:p>
    <w:p w14:paraId="7E262483" w14:textId="77777777" w:rsidR="00FF4AE8" w:rsidRDefault="00FF4AE8"/>
    <w:p w14:paraId="6080124A" w14:textId="6D8FA934" w:rsidR="00FF4AE8" w:rsidRDefault="00FF4AE8">
      <w:r>
        <w:t xml:space="preserve">Zeichen: </w:t>
      </w:r>
      <w:r w:rsidR="009B1E51">
        <w:t>4.822</w:t>
      </w:r>
      <w:r>
        <w:t xml:space="preserve"> inkl. Leerzeichen</w:t>
      </w:r>
    </w:p>
    <w:p w14:paraId="65EA391F" w14:textId="77777777" w:rsidR="00FF4AE8" w:rsidRDefault="00FF4AE8">
      <w:r>
        <w:br w:type="page"/>
      </w:r>
    </w:p>
    <w:p w14:paraId="633C9F96" w14:textId="173B1D18" w:rsidR="00FF4AE8" w:rsidRPr="00C1296D" w:rsidRDefault="00FF4AE8">
      <w:pPr>
        <w:rPr>
          <w:b/>
          <w:bCs/>
        </w:rPr>
      </w:pPr>
      <w:r w:rsidRPr="00FF4AE8">
        <w:rPr>
          <w:b/>
          <w:bCs/>
        </w:rPr>
        <w:lastRenderedPageBreak/>
        <w:t>Bilder:</w:t>
      </w:r>
    </w:p>
    <w:tbl>
      <w:tblPr>
        <w:tblStyle w:val="Tabellenraster"/>
        <w:tblW w:w="0" w:type="auto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BF4E0C" w14:paraId="3FDECD71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6E97DD19" w14:textId="6FAE324B" w:rsidR="00C1296D" w:rsidRDefault="00C1296D">
            <w:r>
              <w:rPr>
                <w:noProof/>
              </w:rPr>
              <w:drawing>
                <wp:inline distT="0" distB="0" distL="0" distR="0" wp14:anchorId="72C4D8B2" wp14:editId="075241A1">
                  <wp:extent cx="2484120" cy="1654253"/>
                  <wp:effectExtent l="0" t="0" r="0" b="3175"/>
                  <wp:docPr id="4728363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612" cy="169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5309F3E7" w14:textId="64864A96" w:rsidR="00C1296D" w:rsidRDefault="009D0CB0">
            <w:r w:rsidRPr="009D0CB0">
              <w:rPr>
                <w:sz w:val="18"/>
                <w:szCs w:val="18"/>
              </w:rPr>
              <w:t xml:space="preserve">Innendämmung ist immer eine Alternative, wenn Außendämmung aufgrund von Grundstücksgrenzen, Denkmalschutzauflagen, </w:t>
            </w:r>
            <w:r w:rsidR="00046C4B" w:rsidRPr="00046C4B">
              <w:rPr>
                <w:sz w:val="18"/>
                <w:szCs w:val="18"/>
              </w:rPr>
              <w:t xml:space="preserve">Brandschutzregularien </w:t>
            </w:r>
            <w:r w:rsidRPr="009D0CB0">
              <w:rPr>
                <w:sz w:val="18"/>
                <w:szCs w:val="18"/>
              </w:rPr>
              <w:t>oder persönlichen Präferenzen der Eigentümer nicht in Frage kommt</w:t>
            </w:r>
            <w:r w:rsidR="00655265">
              <w:rPr>
                <w:sz w:val="18"/>
                <w:szCs w:val="18"/>
              </w:rPr>
              <w:t>.</w:t>
            </w:r>
            <w:r w:rsidR="00655265">
              <w:rPr>
                <w:sz w:val="18"/>
                <w:szCs w:val="18"/>
              </w:rPr>
              <w:br/>
            </w:r>
            <w:r w:rsidR="00655265" w:rsidRPr="00655265">
              <w:rPr>
                <w:sz w:val="18"/>
                <w:szCs w:val="18"/>
              </w:rPr>
              <w:br/>
              <w:t>[Inneo_Innendaemmung.jpg]</w:t>
            </w:r>
          </w:p>
        </w:tc>
      </w:tr>
      <w:tr w:rsidR="00BF4E0C" w14:paraId="51713A20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4F7D1666" w14:textId="0CD9BE99" w:rsidR="00726313" w:rsidRDefault="0072631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08F099" wp14:editId="706CD934">
                  <wp:extent cx="2484120" cy="1418323"/>
                  <wp:effectExtent l="0" t="0" r="0" b="0"/>
                  <wp:docPr id="46533723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515" cy="142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0CD13880" w14:textId="36B39E16" w:rsidR="00726313" w:rsidRPr="009D0CB0" w:rsidRDefault="00726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Von innen gedämmte, jedoch nur zeitweise genutzte </w:t>
            </w:r>
            <w:r w:rsidRPr="00726313">
              <w:rPr>
                <w:sz w:val="18"/>
                <w:szCs w:val="18"/>
              </w:rPr>
              <w:t>Räume profitieren von der schnellen Erwärmung des Luftvolumens, ohne dass die Bausubstanz aufgeheizt werden muss.</w:t>
            </w:r>
            <w:r w:rsidR="00655265">
              <w:rPr>
                <w:sz w:val="18"/>
                <w:szCs w:val="18"/>
              </w:rPr>
              <w:br/>
            </w:r>
            <w:r w:rsidR="00655265">
              <w:rPr>
                <w:sz w:val="18"/>
                <w:szCs w:val="18"/>
              </w:rPr>
              <w:br/>
              <w:t>[</w:t>
            </w:r>
            <w:r w:rsidR="00655265" w:rsidRPr="00655265">
              <w:rPr>
                <w:sz w:val="18"/>
                <w:szCs w:val="18"/>
              </w:rPr>
              <w:t>Innenraum_historisch_1.png</w:t>
            </w:r>
            <w:r w:rsidR="00655265">
              <w:rPr>
                <w:sz w:val="18"/>
                <w:szCs w:val="18"/>
              </w:rPr>
              <w:t>]</w:t>
            </w:r>
          </w:p>
        </w:tc>
      </w:tr>
      <w:tr w:rsidR="00BF4E0C" w14:paraId="72E1ED21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617C50CC" w14:textId="4DA95EBC" w:rsidR="00C1296D" w:rsidRDefault="00B03A30">
            <w:r>
              <w:rPr>
                <w:noProof/>
              </w:rPr>
              <w:drawing>
                <wp:inline distT="0" distB="0" distL="0" distR="0" wp14:anchorId="46AAB7CE" wp14:editId="02BEE53C">
                  <wp:extent cx="2484531" cy="1397977"/>
                  <wp:effectExtent l="0" t="0" r="0" b="0"/>
                  <wp:docPr id="8408205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395" cy="142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488152A4" w14:textId="77777777" w:rsidR="00C1296D" w:rsidRDefault="009D0CB0">
            <w:pPr>
              <w:rPr>
                <w:sz w:val="18"/>
                <w:szCs w:val="18"/>
              </w:rPr>
            </w:pPr>
            <w:r w:rsidRPr="009D0CB0">
              <w:rPr>
                <w:sz w:val="18"/>
                <w:szCs w:val="18"/>
              </w:rPr>
              <w:t xml:space="preserve">Die Heck Inneo Innendämmplatten bieten eine sehr gute Wärmeleitfähigkeit von 0,035 W/mK und </w:t>
            </w:r>
            <w:r w:rsidR="00046C4B">
              <w:rPr>
                <w:sz w:val="18"/>
                <w:szCs w:val="18"/>
              </w:rPr>
              <w:t xml:space="preserve">sind </w:t>
            </w:r>
            <w:r w:rsidRPr="009D0CB0">
              <w:rPr>
                <w:sz w:val="18"/>
                <w:szCs w:val="18"/>
              </w:rPr>
              <w:t>in Dicken von 30 mm und 60 mm erhältlich.</w:t>
            </w:r>
          </w:p>
          <w:p w14:paraId="19DD2238" w14:textId="77777777" w:rsidR="00655265" w:rsidRPr="00655265" w:rsidRDefault="00655265">
            <w:pPr>
              <w:rPr>
                <w:sz w:val="18"/>
                <w:szCs w:val="18"/>
              </w:rPr>
            </w:pPr>
          </w:p>
          <w:p w14:paraId="79349FC3" w14:textId="14F0D290" w:rsidR="00655265" w:rsidRDefault="00655265">
            <w:r w:rsidRPr="00655265">
              <w:rPr>
                <w:sz w:val="18"/>
                <w:szCs w:val="18"/>
              </w:rPr>
              <w:t>[HECK_Comfortrock_ID.JPEG]</w:t>
            </w:r>
          </w:p>
        </w:tc>
      </w:tr>
      <w:tr w:rsidR="00BF4E0C" w14:paraId="13FB2BC6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544461A5" w14:textId="573FC93B" w:rsidR="00BF4E0C" w:rsidRDefault="00BF4E0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350342" wp14:editId="10802400">
                  <wp:extent cx="2484120" cy="1395587"/>
                  <wp:effectExtent l="0" t="0" r="0" b="0"/>
                  <wp:docPr id="2932157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014" cy="140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5E62EBC1" w14:textId="2883A6CE" w:rsidR="00BF4E0C" w:rsidRPr="009D0CB0" w:rsidRDefault="00BF4E0C">
            <w:pPr>
              <w:rPr>
                <w:sz w:val="18"/>
                <w:szCs w:val="18"/>
              </w:rPr>
            </w:pPr>
            <w:r w:rsidRPr="00BF4E0C">
              <w:rPr>
                <w:sz w:val="18"/>
                <w:szCs w:val="18"/>
              </w:rPr>
              <w:t>Die direkte Verklebung auf dem Untergrund ohne Grundierung ermöglich</w:t>
            </w:r>
            <w:r>
              <w:rPr>
                <w:sz w:val="18"/>
                <w:szCs w:val="18"/>
              </w:rPr>
              <w:t>t</w:t>
            </w:r>
            <w:r w:rsidRPr="00BF4E0C">
              <w:rPr>
                <w:sz w:val="18"/>
                <w:szCs w:val="18"/>
              </w:rPr>
              <w:t xml:space="preserve"> eine zeit- und materialsparende, einfache Verarbeitung der Heck Comfortrock I</w:t>
            </w:r>
            <w:r>
              <w:rPr>
                <w:sz w:val="18"/>
                <w:szCs w:val="18"/>
              </w:rPr>
              <w:t>nnendämm</w:t>
            </w:r>
            <w:r w:rsidRPr="00BF4E0C">
              <w:rPr>
                <w:sz w:val="18"/>
                <w:szCs w:val="18"/>
              </w:rPr>
              <w:t>-Platten.</w:t>
            </w:r>
            <w:r w:rsidR="00655265">
              <w:rPr>
                <w:sz w:val="18"/>
                <w:szCs w:val="18"/>
              </w:rPr>
              <w:br/>
            </w:r>
            <w:r w:rsidR="00655265">
              <w:rPr>
                <w:sz w:val="18"/>
                <w:szCs w:val="18"/>
              </w:rPr>
              <w:br/>
              <w:t>[</w:t>
            </w:r>
            <w:r w:rsidR="00655265" w:rsidRPr="00655265">
              <w:rPr>
                <w:sz w:val="18"/>
                <w:szCs w:val="18"/>
              </w:rPr>
              <w:t>Inneo_Verarbeitung.jpg</w:t>
            </w:r>
            <w:r w:rsidR="00655265">
              <w:rPr>
                <w:sz w:val="18"/>
                <w:szCs w:val="18"/>
              </w:rPr>
              <w:t>]</w:t>
            </w:r>
          </w:p>
        </w:tc>
      </w:tr>
      <w:tr w:rsidR="00BF4E0C" w14:paraId="52414756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6052FD67" w14:textId="64A9ACE9" w:rsidR="00C1296D" w:rsidRDefault="00C1296D" w:rsidP="00C1296D">
            <w:r>
              <w:rPr>
                <w:noProof/>
              </w:rPr>
              <w:lastRenderedPageBreak/>
              <w:drawing>
                <wp:inline distT="0" distB="0" distL="0" distR="0" wp14:anchorId="5C5B4E58" wp14:editId="49731AE0">
                  <wp:extent cx="1784838" cy="2385695"/>
                  <wp:effectExtent l="0" t="0" r="6350" b="0"/>
                  <wp:docPr id="14010315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75" cy="239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6AD04057" w14:textId="0EFC9544" w:rsidR="00C1296D" w:rsidRDefault="00C1296D" w:rsidP="00C1296D">
            <w:r w:rsidRPr="00C1296D">
              <w:rPr>
                <w:sz w:val="18"/>
                <w:szCs w:val="18"/>
              </w:rPr>
              <w:t>Einfacher, aber wirkungsvoller Systemaufbau: Die vollflächig verklebten Dämmplatten werden mit Gewebe armiert und anschließend verputzt. Das System funktioniert ohne Dampfbremse.</w:t>
            </w:r>
            <w:r w:rsidR="00655265">
              <w:rPr>
                <w:sz w:val="18"/>
                <w:szCs w:val="18"/>
              </w:rPr>
              <w:br/>
            </w:r>
            <w:r w:rsidR="00655265" w:rsidRPr="00655265">
              <w:rPr>
                <w:sz w:val="18"/>
                <w:szCs w:val="18"/>
              </w:rPr>
              <w:br/>
              <w:t>[Inneo_Systemaufbau.jpg]</w:t>
            </w:r>
          </w:p>
        </w:tc>
      </w:tr>
      <w:tr w:rsidR="00BF4E0C" w14:paraId="73B2A451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2A8DACA9" w14:textId="5CDEEE8F" w:rsidR="009D0CB0" w:rsidRDefault="00BF4E0C" w:rsidP="00C129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CEC242" wp14:editId="7D005314">
                  <wp:extent cx="2584938" cy="2289077"/>
                  <wp:effectExtent l="19050" t="19050" r="25400" b="16510"/>
                  <wp:docPr id="78150794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268" cy="23017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18258D83" w14:textId="5A0CA8F7" w:rsidR="009D0CB0" w:rsidRPr="00C1296D" w:rsidRDefault="009D0CB0" w:rsidP="00C12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D0CB0">
              <w:rPr>
                <w:sz w:val="18"/>
                <w:szCs w:val="18"/>
              </w:rPr>
              <w:t xml:space="preserve">apillaraktive </w:t>
            </w:r>
            <w:r>
              <w:rPr>
                <w:sz w:val="18"/>
                <w:szCs w:val="18"/>
              </w:rPr>
              <w:t>Innendämms</w:t>
            </w:r>
            <w:r w:rsidRPr="009D0CB0">
              <w:rPr>
                <w:sz w:val="18"/>
                <w:szCs w:val="18"/>
              </w:rPr>
              <w:t xml:space="preserve">ysteme regulieren </w:t>
            </w:r>
            <w:r>
              <w:rPr>
                <w:sz w:val="18"/>
                <w:szCs w:val="18"/>
              </w:rPr>
              <w:t xml:space="preserve">die </w:t>
            </w:r>
            <w:r w:rsidRPr="009D0CB0">
              <w:rPr>
                <w:sz w:val="18"/>
                <w:szCs w:val="18"/>
              </w:rPr>
              <w:t>Feuchtigkeit und minimieren so das Risiko von Feuchteschäden</w:t>
            </w:r>
            <w:r>
              <w:rPr>
                <w:sz w:val="18"/>
                <w:szCs w:val="18"/>
              </w:rPr>
              <w:t xml:space="preserve"> im Raum</w:t>
            </w:r>
            <w:r w:rsidRPr="009D0CB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Dies geschieht durch Aufnahme und Abgabe der Luftfeuchtigkeit.</w:t>
            </w:r>
            <w:r w:rsidR="00655265">
              <w:rPr>
                <w:sz w:val="18"/>
                <w:szCs w:val="18"/>
              </w:rPr>
              <w:br/>
            </w:r>
            <w:r w:rsidR="00655265">
              <w:rPr>
                <w:sz w:val="18"/>
                <w:szCs w:val="18"/>
              </w:rPr>
              <w:br/>
              <w:t>[</w:t>
            </w:r>
            <w:r w:rsidR="00655265" w:rsidRPr="00655265">
              <w:rPr>
                <w:sz w:val="18"/>
                <w:szCs w:val="18"/>
              </w:rPr>
              <w:t>Grafik_Regulierung_Luftfeuchte.png</w:t>
            </w:r>
            <w:r w:rsidR="00655265">
              <w:rPr>
                <w:sz w:val="18"/>
                <w:szCs w:val="18"/>
              </w:rPr>
              <w:t>]</w:t>
            </w:r>
          </w:p>
        </w:tc>
      </w:tr>
      <w:tr w:rsidR="00BF4E0C" w14:paraId="31F6A012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79FF3BF9" w14:textId="17DDCC96" w:rsidR="00B8042D" w:rsidRDefault="00B03A30" w:rsidP="00C129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CDE707" wp14:editId="3A26EF80">
                  <wp:extent cx="2602523" cy="1485927"/>
                  <wp:effectExtent l="0" t="0" r="7620" b="0"/>
                  <wp:docPr id="116607809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856" cy="150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4FACC461" w14:textId="2E6EFA45" w:rsidR="00B8042D" w:rsidRDefault="00F67C19" w:rsidP="00C1296D">
            <w:pPr>
              <w:rPr>
                <w:sz w:val="18"/>
                <w:szCs w:val="18"/>
              </w:rPr>
            </w:pPr>
            <w:r w:rsidRPr="00F67C19">
              <w:rPr>
                <w:sz w:val="18"/>
                <w:szCs w:val="18"/>
              </w:rPr>
              <w:t xml:space="preserve">Saugwirkung sichtbar gemacht: So wie das Vlies das Wasser von einem Glas ins andere transportiert, leiten die MIneralfasern </w:t>
            </w:r>
            <w:r>
              <w:rPr>
                <w:sz w:val="18"/>
                <w:szCs w:val="18"/>
              </w:rPr>
              <w:t>der</w:t>
            </w:r>
            <w:r w:rsidRPr="00F67C19">
              <w:rPr>
                <w:sz w:val="18"/>
                <w:szCs w:val="18"/>
              </w:rPr>
              <w:t xml:space="preserve"> HECK Comfortrock </w:t>
            </w:r>
            <w:r>
              <w:rPr>
                <w:sz w:val="18"/>
                <w:szCs w:val="18"/>
              </w:rPr>
              <w:t xml:space="preserve">ID </w:t>
            </w:r>
            <w:r w:rsidRPr="00F67C19">
              <w:rPr>
                <w:sz w:val="18"/>
                <w:szCs w:val="18"/>
              </w:rPr>
              <w:t xml:space="preserve">mögliches Kondensat der Innendämmung ab </w:t>
            </w:r>
            <w:r>
              <w:rPr>
                <w:sz w:val="18"/>
                <w:szCs w:val="18"/>
              </w:rPr>
              <w:t>– f</w:t>
            </w:r>
            <w:r w:rsidRPr="00F67C19">
              <w:rPr>
                <w:sz w:val="18"/>
                <w:szCs w:val="18"/>
              </w:rPr>
              <w:t>ür einen trockenen Wandaufbau und gute Dämmwirkung</w:t>
            </w:r>
            <w:r>
              <w:rPr>
                <w:sz w:val="18"/>
                <w:szCs w:val="18"/>
              </w:rPr>
              <w:t>.</w:t>
            </w:r>
            <w:r w:rsidR="00655265">
              <w:rPr>
                <w:sz w:val="18"/>
                <w:szCs w:val="18"/>
              </w:rPr>
              <w:br/>
            </w:r>
            <w:r w:rsidR="00655265">
              <w:rPr>
                <w:sz w:val="18"/>
                <w:szCs w:val="18"/>
              </w:rPr>
              <w:br/>
              <w:t>[</w:t>
            </w:r>
            <w:r w:rsidR="00655265" w:rsidRPr="00655265">
              <w:rPr>
                <w:sz w:val="18"/>
                <w:szCs w:val="18"/>
              </w:rPr>
              <w:t>Innendaemmung_Saugeffekt_symbolisch.png</w:t>
            </w:r>
            <w:r w:rsidR="00655265">
              <w:rPr>
                <w:sz w:val="18"/>
                <w:szCs w:val="18"/>
              </w:rPr>
              <w:t>]</w:t>
            </w:r>
          </w:p>
        </w:tc>
      </w:tr>
      <w:tr w:rsidR="00F51E14" w:rsidRPr="00F51E14" w14:paraId="4FF813C9" w14:textId="77777777" w:rsidTr="00BF4E0C">
        <w:trPr>
          <w:tblCellSpacing w:w="85" w:type="dxa"/>
        </w:trPr>
        <w:tc>
          <w:tcPr>
            <w:tcW w:w="2943" w:type="dxa"/>
            <w:vAlign w:val="center"/>
          </w:tcPr>
          <w:p w14:paraId="5B9A1480" w14:textId="76B8A04D" w:rsidR="00F51E14" w:rsidRDefault="00F51E14" w:rsidP="00C129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2BB447" wp14:editId="5FDAEDEC">
                  <wp:extent cx="1371600" cy="1970857"/>
                  <wp:effectExtent l="0" t="0" r="0" b="0"/>
                  <wp:docPr id="14262089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255" cy="197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14:paraId="41114E5D" w14:textId="0EE8592D" w:rsidR="00F51E14" w:rsidRPr="00F51E14" w:rsidRDefault="00F51E14" w:rsidP="00C1296D">
            <w:pPr>
              <w:rPr>
                <w:sz w:val="18"/>
                <w:szCs w:val="18"/>
              </w:rPr>
            </w:pPr>
            <w:r w:rsidRPr="00F67C19">
              <w:rPr>
                <w:sz w:val="18"/>
                <w:szCs w:val="18"/>
              </w:rPr>
              <w:t xml:space="preserve">Autorin: Prof. Dr.-Ing. </w:t>
            </w:r>
            <w:r w:rsidRPr="00F51E14">
              <w:rPr>
                <w:sz w:val="18"/>
                <w:szCs w:val="18"/>
              </w:rPr>
              <w:t>Sylvia Stürmer forscht und l</w:t>
            </w:r>
            <w:r>
              <w:rPr>
                <w:sz w:val="18"/>
                <w:szCs w:val="18"/>
              </w:rPr>
              <w:t>ehrt an der Fakultät Bauingenieurwesen der Hochschule Konstanz</w:t>
            </w:r>
            <w:r w:rsidR="0065526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u.a. zu </w:t>
            </w:r>
            <w:r w:rsidRPr="00F51E14">
              <w:rPr>
                <w:sz w:val="18"/>
                <w:szCs w:val="18"/>
              </w:rPr>
              <w:t>Bauphysik, Denkmalpflege und Bausanierung</w:t>
            </w:r>
            <w:r>
              <w:rPr>
                <w:sz w:val="18"/>
                <w:szCs w:val="18"/>
              </w:rPr>
              <w:t>.</w:t>
            </w:r>
            <w:r w:rsidR="00655265">
              <w:rPr>
                <w:sz w:val="18"/>
                <w:szCs w:val="18"/>
              </w:rPr>
              <w:br/>
            </w:r>
            <w:r w:rsidR="00655265">
              <w:rPr>
                <w:sz w:val="18"/>
                <w:szCs w:val="18"/>
              </w:rPr>
              <w:br/>
              <w:t>[</w:t>
            </w:r>
            <w:r w:rsidR="00655265" w:rsidRPr="00655265">
              <w:rPr>
                <w:sz w:val="18"/>
                <w:szCs w:val="18"/>
              </w:rPr>
              <w:t>Prof_Stuermer.jpg</w:t>
            </w:r>
            <w:r w:rsidR="00655265">
              <w:rPr>
                <w:sz w:val="18"/>
                <w:szCs w:val="18"/>
              </w:rPr>
              <w:t>]</w:t>
            </w:r>
          </w:p>
        </w:tc>
      </w:tr>
    </w:tbl>
    <w:p w14:paraId="483B515E" w14:textId="77777777" w:rsidR="00C1296D" w:rsidRPr="00F51E14" w:rsidRDefault="00C1296D"/>
    <w:sectPr w:rsidR="00C1296D" w:rsidRPr="00F51E14" w:rsidSect="002E3A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DA"/>
    <w:rsid w:val="00003737"/>
    <w:rsid w:val="00022528"/>
    <w:rsid w:val="00046C4B"/>
    <w:rsid w:val="000B27DA"/>
    <w:rsid w:val="000F2CB2"/>
    <w:rsid w:val="001E2440"/>
    <w:rsid w:val="00234D2B"/>
    <w:rsid w:val="00243AE8"/>
    <w:rsid w:val="00261558"/>
    <w:rsid w:val="002871C9"/>
    <w:rsid w:val="002E3A9E"/>
    <w:rsid w:val="00365BE8"/>
    <w:rsid w:val="00567A55"/>
    <w:rsid w:val="005D6314"/>
    <w:rsid w:val="00655265"/>
    <w:rsid w:val="00685C18"/>
    <w:rsid w:val="00726313"/>
    <w:rsid w:val="00753C92"/>
    <w:rsid w:val="00847FB3"/>
    <w:rsid w:val="00873611"/>
    <w:rsid w:val="00875289"/>
    <w:rsid w:val="008E3DD1"/>
    <w:rsid w:val="00997477"/>
    <w:rsid w:val="009B1E51"/>
    <w:rsid w:val="009D0CB0"/>
    <w:rsid w:val="00A26D9C"/>
    <w:rsid w:val="00A31657"/>
    <w:rsid w:val="00A93145"/>
    <w:rsid w:val="00AB1C79"/>
    <w:rsid w:val="00B03A30"/>
    <w:rsid w:val="00B6547F"/>
    <w:rsid w:val="00B8042D"/>
    <w:rsid w:val="00BF4E0C"/>
    <w:rsid w:val="00C1296D"/>
    <w:rsid w:val="00C82177"/>
    <w:rsid w:val="00C90268"/>
    <w:rsid w:val="00D16B05"/>
    <w:rsid w:val="00F51E14"/>
    <w:rsid w:val="00F67C19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6434"/>
  <w15:chartTrackingRefBased/>
  <w15:docId w15:val="{19D42F63-C7B0-4B4C-A7A5-590CEDB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7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7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7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7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7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7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27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27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27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2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27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27D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Jeschar</dc:creator>
  <cp:keywords/>
  <dc:description/>
  <cp:lastModifiedBy>Heike Schuster</cp:lastModifiedBy>
  <cp:revision>6</cp:revision>
  <dcterms:created xsi:type="dcterms:W3CDTF">2025-04-14T09:05:00Z</dcterms:created>
  <dcterms:modified xsi:type="dcterms:W3CDTF">2025-05-08T08:48:00Z</dcterms:modified>
</cp:coreProperties>
</file>