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F39C" w14:textId="562BE658" w:rsidR="00487A70" w:rsidRPr="00487A70" w:rsidRDefault="00487A70" w:rsidP="00487A70">
      <w:pPr>
        <w:spacing w:line="300" w:lineRule="atLeast"/>
        <w:rPr>
          <w:rFonts w:ascii="Verdana" w:hAnsi="Verdana"/>
          <w:sz w:val="26"/>
          <w:szCs w:val="26"/>
        </w:rPr>
      </w:pPr>
      <w:bookmarkStart w:id="0" w:name="_Hlk225849858"/>
      <w:bookmarkStart w:id="1" w:name="_Hlk174434100"/>
      <w:bookmarkStart w:id="2" w:name="_Hlk176855613"/>
      <w:r w:rsidRPr="002C150D">
        <w:rPr>
          <w:rFonts w:ascii="Verdana" w:hAnsi="Verdana"/>
          <w:sz w:val="28"/>
          <w:szCs w:val="28"/>
        </w:rPr>
        <w:t>Geschosswohnungsbau</w:t>
      </w:r>
      <w:r w:rsidR="006304CE" w:rsidRPr="002C150D">
        <w:rPr>
          <w:rFonts w:ascii="Verdana" w:hAnsi="Verdana"/>
          <w:sz w:val="28"/>
          <w:szCs w:val="28"/>
        </w:rPr>
        <w:t>: mehr Tempo, weniger Bürokratie</w:t>
      </w:r>
      <w:r w:rsidRPr="00487A70">
        <w:rPr>
          <w:rFonts w:ascii="Verdana" w:hAnsi="Verdana"/>
          <w:sz w:val="26"/>
          <w:szCs w:val="26"/>
        </w:rPr>
        <w:br/>
      </w:r>
      <w:r w:rsidR="00C94394" w:rsidRPr="002C150D">
        <w:rPr>
          <w:rFonts w:ascii="Verdana" w:hAnsi="Verdana"/>
          <w:sz w:val="23"/>
          <w:szCs w:val="23"/>
        </w:rPr>
        <w:t xml:space="preserve">Neues </w:t>
      </w:r>
      <w:proofErr w:type="spellStart"/>
      <w:r w:rsidR="00C94394" w:rsidRPr="002C150D">
        <w:rPr>
          <w:rFonts w:ascii="Verdana" w:hAnsi="Verdana"/>
          <w:sz w:val="23"/>
          <w:szCs w:val="23"/>
        </w:rPr>
        <w:t>Dennert</w:t>
      </w:r>
      <w:proofErr w:type="spellEnd"/>
      <w:r w:rsidR="00C94394" w:rsidRPr="002C150D">
        <w:rPr>
          <w:rFonts w:ascii="Verdana" w:hAnsi="Verdana"/>
          <w:sz w:val="23"/>
          <w:szCs w:val="23"/>
        </w:rPr>
        <w:t xml:space="preserve">-Bausystem setzt auf </w:t>
      </w:r>
      <w:r w:rsidR="004846B5" w:rsidRPr="002C150D">
        <w:rPr>
          <w:rFonts w:ascii="Verdana" w:hAnsi="Verdana"/>
          <w:sz w:val="23"/>
          <w:szCs w:val="23"/>
        </w:rPr>
        <w:t>massive sowie hybride</w:t>
      </w:r>
      <w:r w:rsidR="00C94394" w:rsidRPr="002C150D">
        <w:rPr>
          <w:rFonts w:ascii="Verdana" w:hAnsi="Verdana"/>
          <w:color w:val="EE0000"/>
          <w:sz w:val="23"/>
          <w:szCs w:val="23"/>
        </w:rPr>
        <w:t xml:space="preserve"> </w:t>
      </w:r>
      <w:r w:rsidR="00C94394" w:rsidRPr="002C150D">
        <w:rPr>
          <w:rFonts w:ascii="Verdana" w:hAnsi="Verdana"/>
          <w:sz w:val="23"/>
          <w:szCs w:val="23"/>
        </w:rPr>
        <w:t>Modulbauweise</w:t>
      </w:r>
    </w:p>
    <w:p w14:paraId="1CB368B7" w14:textId="77777777" w:rsidR="00487A70" w:rsidRPr="00487A70" w:rsidRDefault="00487A70" w:rsidP="004D66F4">
      <w:pPr>
        <w:rPr>
          <w:rFonts w:ascii="Verdana" w:hAnsi="Verdana"/>
        </w:rPr>
      </w:pPr>
    </w:p>
    <w:p w14:paraId="29C4E692" w14:textId="6A8CAE1C" w:rsidR="00487A70" w:rsidRPr="00487A70" w:rsidRDefault="007C198E" w:rsidP="00487A70">
      <w:pPr>
        <w:spacing w:line="300" w:lineRule="atLeast"/>
        <w:rPr>
          <w:rFonts w:ascii="Verdana" w:hAnsi="Verdana"/>
        </w:rPr>
      </w:pPr>
      <w:r>
        <w:rPr>
          <w:rFonts w:ascii="Verdana" w:hAnsi="Verdana"/>
        </w:rPr>
        <w:t xml:space="preserve">Der Betonfertigteilspezialist </w:t>
      </w:r>
      <w:proofErr w:type="spellStart"/>
      <w:r>
        <w:rPr>
          <w:rFonts w:ascii="Verdana" w:hAnsi="Verdana"/>
        </w:rPr>
        <w:t>Dennert</w:t>
      </w:r>
      <w:proofErr w:type="spellEnd"/>
      <w:r w:rsidR="00722638">
        <w:rPr>
          <w:rFonts w:ascii="Verdana" w:hAnsi="Verdana"/>
        </w:rPr>
        <w:t xml:space="preserve"> </w:t>
      </w:r>
      <w:r>
        <w:rPr>
          <w:rFonts w:ascii="Verdana" w:hAnsi="Verdana"/>
        </w:rPr>
        <w:t xml:space="preserve">bringt </w:t>
      </w:r>
      <w:r w:rsidR="00487A70">
        <w:rPr>
          <w:rFonts w:ascii="Verdana" w:hAnsi="Verdana"/>
        </w:rPr>
        <w:t>ein</w:t>
      </w:r>
      <w:r w:rsidR="00487A70" w:rsidRPr="00487A70">
        <w:rPr>
          <w:rFonts w:ascii="Verdana" w:hAnsi="Verdana"/>
        </w:rPr>
        <w:t xml:space="preserve"> </w:t>
      </w:r>
      <w:r w:rsidR="006304CE">
        <w:rPr>
          <w:rFonts w:ascii="Verdana" w:hAnsi="Verdana"/>
        </w:rPr>
        <w:t xml:space="preserve">serielles, </w:t>
      </w:r>
      <w:r w:rsidR="00487A70" w:rsidRPr="00487A70">
        <w:rPr>
          <w:rFonts w:ascii="Verdana" w:hAnsi="Verdana"/>
        </w:rPr>
        <w:t>vorkonfiguriertes Bausystem</w:t>
      </w:r>
      <w:r w:rsidR="00487A70">
        <w:rPr>
          <w:rFonts w:ascii="Verdana" w:hAnsi="Verdana"/>
        </w:rPr>
        <w:t xml:space="preserve"> auf den Markt, das</w:t>
      </w:r>
      <w:r w:rsidR="00487A70" w:rsidRPr="00487A70">
        <w:rPr>
          <w:rFonts w:ascii="Verdana" w:hAnsi="Verdana"/>
        </w:rPr>
        <w:t xml:space="preserve"> speziell auf den sozialen Wohnungsbau und kommunale Wohnprojekte zugeschnitten ist. Um Bauzeiten deutlich zu verkürzen und </w:t>
      </w:r>
      <w:r w:rsidR="006304CE">
        <w:rPr>
          <w:rFonts w:ascii="Verdana" w:hAnsi="Verdana"/>
        </w:rPr>
        <w:t>bezahlbaren</w:t>
      </w:r>
      <w:r w:rsidR="00487A70" w:rsidRPr="00487A70">
        <w:rPr>
          <w:rFonts w:ascii="Verdana" w:hAnsi="Verdana"/>
        </w:rPr>
        <w:t xml:space="preserve"> Wohnraum ohne Planungsrisiken wirtschaftlich zu </w:t>
      </w:r>
      <w:r w:rsidR="00487A70">
        <w:rPr>
          <w:rFonts w:ascii="Verdana" w:hAnsi="Verdana"/>
        </w:rPr>
        <w:t>realisieren</w:t>
      </w:r>
      <w:r w:rsidR="00487A70" w:rsidRPr="00487A70">
        <w:rPr>
          <w:rFonts w:ascii="Verdana" w:hAnsi="Verdana"/>
        </w:rPr>
        <w:t>, setzt d</w:t>
      </w:r>
      <w:r>
        <w:rPr>
          <w:rFonts w:ascii="Verdana" w:hAnsi="Verdana"/>
        </w:rPr>
        <w:t xml:space="preserve">as </w:t>
      </w:r>
      <w:r w:rsidR="00487A70" w:rsidRPr="00487A70">
        <w:rPr>
          <w:rFonts w:ascii="Verdana" w:hAnsi="Verdana"/>
        </w:rPr>
        <w:t xml:space="preserve">fränkische </w:t>
      </w:r>
      <w:r>
        <w:rPr>
          <w:rFonts w:ascii="Verdana" w:hAnsi="Verdana"/>
        </w:rPr>
        <w:t xml:space="preserve">Unternehmen </w:t>
      </w:r>
      <w:r w:rsidR="00487A70" w:rsidRPr="00487A70">
        <w:rPr>
          <w:rFonts w:ascii="Verdana" w:hAnsi="Verdana"/>
        </w:rPr>
        <w:t xml:space="preserve">im Geschosswohnungsbau auf eine konsequente, </w:t>
      </w:r>
      <w:r w:rsidR="004846B5">
        <w:rPr>
          <w:rFonts w:ascii="Verdana" w:hAnsi="Verdana"/>
        </w:rPr>
        <w:t xml:space="preserve">massive und hybride </w:t>
      </w:r>
      <w:r w:rsidR="00487A70" w:rsidRPr="00487A70">
        <w:rPr>
          <w:rFonts w:ascii="Verdana" w:hAnsi="Verdana"/>
        </w:rPr>
        <w:t>Modulbauweise.</w:t>
      </w:r>
    </w:p>
    <w:bookmarkEnd w:id="0"/>
    <w:p w14:paraId="01CE4613" w14:textId="77777777" w:rsidR="00487A70" w:rsidRPr="00487A70" w:rsidRDefault="00487A70" w:rsidP="00487A70">
      <w:pPr>
        <w:rPr>
          <w:rFonts w:ascii="Verdana" w:hAnsi="Verdana"/>
          <w:b/>
          <w:bCs/>
        </w:rPr>
      </w:pPr>
    </w:p>
    <w:p w14:paraId="6162E642" w14:textId="2E8F8EF6" w:rsidR="00487A70" w:rsidRPr="00487A70" w:rsidRDefault="00487A70" w:rsidP="00487A70">
      <w:pPr>
        <w:spacing w:line="300" w:lineRule="atLeast"/>
        <w:rPr>
          <w:rFonts w:ascii="Verdana" w:hAnsi="Verdana"/>
        </w:rPr>
      </w:pPr>
      <w:r w:rsidRPr="00487A70">
        <w:rPr>
          <w:rFonts w:ascii="Verdana" w:hAnsi="Verdana"/>
          <w:b/>
          <w:bCs/>
        </w:rPr>
        <w:t>Planungssicherheit in Holz und Beton</w:t>
      </w:r>
      <w:r w:rsidRPr="00487A70">
        <w:rPr>
          <w:rFonts w:ascii="Verdana" w:hAnsi="Verdana"/>
        </w:rPr>
        <w:br/>
        <w:t xml:space="preserve">Das System basiert </w:t>
      </w:r>
      <w:proofErr w:type="gramStart"/>
      <w:r w:rsidRPr="00487A70">
        <w:rPr>
          <w:rFonts w:ascii="Verdana" w:hAnsi="Verdana"/>
        </w:rPr>
        <w:t>auf präzise vorkonfektionierten Modulen</w:t>
      </w:r>
      <w:proofErr w:type="gramEnd"/>
      <w:r w:rsidRPr="00487A70">
        <w:rPr>
          <w:rFonts w:ascii="Verdana" w:hAnsi="Verdana"/>
        </w:rPr>
        <w:t xml:space="preserve"> in Holz-Beton-Hybridbauweise für zwei-, drei- oder </w:t>
      </w:r>
      <w:proofErr w:type="spellStart"/>
      <w:r w:rsidRPr="00487A70">
        <w:rPr>
          <w:rFonts w:ascii="Verdana" w:hAnsi="Verdana"/>
        </w:rPr>
        <w:t>viermodulige</w:t>
      </w:r>
      <w:proofErr w:type="spellEnd"/>
      <w:r w:rsidRPr="00487A70">
        <w:rPr>
          <w:rFonts w:ascii="Verdana" w:hAnsi="Verdana"/>
        </w:rPr>
        <w:t xml:space="preserve"> Wohnungen (41 m², 64 m² oder 87 m²). Die Wohneinheiten mit ihren Systemgrundrissen sind um zwei zentrale Module angeordnet, die das Treppenhaus, einen optionalen Fahrstuhlschacht, die Versorgungsschächte für die TGA sowie die Installationsräume beherbergen. Die konsequente Standardisierung wirkt sich positiv auf das Bautempo und das Preis-Leistungs-Verhältnis aus. Sie ermöglicht eine hocheffiziente </w:t>
      </w:r>
      <w:r w:rsidR="004846B5" w:rsidRPr="00722638">
        <w:rPr>
          <w:rFonts w:ascii="Verdana" w:hAnsi="Verdana"/>
        </w:rPr>
        <w:t>Ausführung zur Schaffung von preiswertem Wohnraum</w:t>
      </w:r>
      <w:r w:rsidR="00722638" w:rsidRPr="00722638">
        <w:rPr>
          <w:rFonts w:ascii="Verdana" w:hAnsi="Verdana"/>
        </w:rPr>
        <w:t>.</w:t>
      </w:r>
      <w:r w:rsidRPr="00487A70">
        <w:rPr>
          <w:rFonts w:ascii="Verdana" w:hAnsi="Verdana"/>
        </w:rPr>
        <w:t xml:space="preserve"> </w:t>
      </w:r>
      <w:r w:rsidR="004846B5" w:rsidRPr="00722638">
        <w:rPr>
          <w:rFonts w:ascii="Verdana" w:hAnsi="Verdana"/>
        </w:rPr>
        <w:t>Im Vorfeld erstellte</w:t>
      </w:r>
      <w:r w:rsidR="00722638">
        <w:rPr>
          <w:rFonts w:ascii="Verdana" w:hAnsi="Verdana"/>
        </w:rPr>
        <w:t>,</w:t>
      </w:r>
      <w:r w:rsidR="004846B5" w:rsidRPr="00722638">
        <w:rPr>
          <w:rFonts w:ascii="Verdana" w:hAnsi="Verdana"/>
        </w:rPr>
        <w:t xml:space="preserve"> standardisierte statische Berechnungen beschleunigen </w:t>
      </w:r>
      <w:r w:rsidRPr="00722638">
        <w:rPr>
          <w:rFonts w:ascii="Verdana" w:hAnsi="Verdana"/>
        </w:rPr>
        <w:t xml:space="preserve">den Genehmigungsprozess für Gebäude bis zur Gebäudeklasse 3 deutlich. </w:t>
      </w:r>
      <w:r w:rsidRPr="00487A70">
        <w:rPr>
          <w:rFonts w:ascii="Verdana" w:hAnsi="Verdana"/>
        </w:rPr>
        <w:t xml:space="preserve">Eine Unterkellerung mit dem BASE-Fertigkeller von </w:t>
      </w:r>
      <w:proofErr w:type="spellStart"/>
      <w:r w:rsidRPr="00487A70">
        <w:rPr>
          <w:rFonts w:ascii="Verdana" w:hAnsi="Verdana"/>
        </w:rPr>
        <w:t>Dennert</w:t>
      </w:r>
      <w:proofErr w:type="spellEnd"/>
      <w:r w:rsidRPr="00487A70">
        <w:rPr>
          <w:rFonts w:ascii="Verdana" w:hAnsi="Verdana"/>
        </w:rPr>
        <w:t xml:space="preserve"> ist möglich, der wie das gesamte System dem Prinzip der industriellen Vorfertigung folgt und für einen nahtlosen Baufortschritt sorgt.</w:t>
      </w:r>
    </w:p>
    <w:p w14:paraId="69E9C75B" w14:textId="2B45AB7F" w:rsidR="00487A70" w:rsidRPr="00487A70" w:rsidRDefault="00487A70" w:rsidP="009E1363">
      <w:pPr>
        <w:spacing w:before="120" w:line="300" w:lineRule="atLeast"/>
        <w:rPr>
          <w:rFonts w:ascii="Verdana" w:hAnsi="Verdana"/>
        </w:rPr>
      </w:pPr>
      <w:r w:rsidRPr="00487A70">
        <w:rPr>
          <w:rFonts w:ascii="Verdana" w:hAnsi="Verdana"/>
        </w:rPr>
        <w:t>Bei dieser Bauweise werden massive Holzaußenwände mit tragenden Betondecken und -böden kombiniert. Alternativ ist auch eine reine Betonausführung möglich. Die zehn Zentimeter schlanken Innenwände sind bereits ab Werk integriert und mit passgenauen Türaussparungen versehen. Alle Modultypen stehen als fertige BIM-fähige Bauteile zur Verfügung</w:t>
      </w:r>
      <w:r w:rsidR="00C94394">
        <w:rPr>
          <w:rFonts w:ascii="Verdana" w:hAnsi="Verdana"/>
        </w:rPr>
        <w:t xml:space="preserve"> (</w:t>
      </w:r>
      <w:proofErr w:type="spellStart"/>
      <w:r w:rsidR="00C94394">
        <w:rPr>
          <w:rFonts w:ascii="Verdana" w:hAnsi="Verdana"/>
        </w:rPr>
        <w:t>Revit</w:t>
      </w:r>
      <w:proofErr w:type="spellEnd"/>
      <w:r w:rsidR="00C94394">
        <w:rPr>
          <w:rFonts w:ascii="Verdana" w:hAnsi="Verdana"/>
        </w:rPr>
        <w:t>)</w:t>
      </w:r>
      <w:r w:rsidRPr="00487A70">
        <w:rPr>
          <w:rFonts w:ascii="Verdana" w:hAnsi="Verdana"/>
        </w:rPr>
        <w:t>.</w:t>
      </w:r>
    </w:p>
    <w:p w14:paraId="4891D16A" w14:textId="77777777" w:rsidR="00487A70" w:rsidRPr="00487A70" w:rsidRDefault="00487A70" w:rsidP="00487A70">
      <w:pPr>
        <w:rPr>
          <w:rFonts w:ascii="Verdana" w:hAnsi="Verdana"/>
        </w:rPr>
      </w:pPr>
    </w:p>
    <w:p w14:paraId="1D1BA3CE" w14:textId="49AA3B28" w:rsidR="00487A70" w:rsidRPr="003A019F" w:rsidRDefault="00487A70" w:rsidP="00487A70">
      <w:pPr>
        <w:spacing w:line="300" w:lineRule="atLeast"/>
        <w:rPr>
          <w:rFonts w:ascii="Verdana" w:hAnsi="Verdana"/>
          <w:color w:val="EE0000"/>
        </w:rPr>
      </w:pPr>
      <w:r w:rsidRPr="00487A70">
        <w:rPr>
          <w:rFonts w:ascii="Verdana" w:hAnsi="Verdana"/>
          <w:b/>
          <w:bCs/>
        </w:rPr>
        <w:t>Erhöhter Schallschutzstandard</w:t>
      </w:r>
      <w:r w:rsidRPr="00487A70">
        <w:rPr>
          <w:rFonts w:ascii="Verdana" w:hAnsi="Verdana"/>
        </w:rPr>
        <w:br/>
        <w:t>Trotz estrichfreier Ausführung erreichen die Module den erhöhten Schallschutz-Standard nach DIN 410</w:t>
      </w:r>
      <w:r w:rsidRPr="00722638">
        <w:rPr>
          <w:rFonts w:ascii="Verdana" w:hAnsi="Verdana"/>
        </w:rPr>
        <w:t>9</w:t>
      </w:r>
      <w:r w:rsidR="000D6BD5" w:rsidRPr="00722638">
        <w:rPr>
          <w:rFonts w:ascii="Verdana" w:hAnsi="Verdana"/>
        </w:rPr>
        <w:t>-2015</w:t>
      </w:r>
      <w:r w:rsidRPr="00487A70">
        <w:rPr>
          <w:rFonts w:ascii="Verdana" w:hAnsi="Verdana"/>
        </w:rPr>
        <w:t>. Möglich wird dies durch eine systemseitige Deckenabhängung inklusive einer 80 mm starken Mineralwolleinlage. Energetisch erfüllt das System die Standards Effizienzhaus 40 und 55. Damit sind die Projekte über aktuelle KfW-Programme förderfähig. Da das System zudem die Kriterien für das Qualitätssiegel Nachhaltiges Gebäude (QNG) erfüllt, profitieren Investoren von attraktiven Sonderabschreibungen im Rahmen des Wachstumschancengesetzes.</w:t>
      </w:r>
      <w:r w:rsidR="003A019F">
        <w:rPr>
          <w:rFonts w:ascii="Verdana" w:hAnsi="Verdana"/>
        </w:rPr>
        <w:t xml:space="preserve"> </w:t>
      </w:r>
      <w:r w:rsidR="003A019F" w:rsidRPr="00722638">
        <w:rPr>
          <w:rFonts w:ascii="Verdana" w:hAnsi="Verdana"/>
        </w:rPr>
        <w:t>Insbesondere ist eine Kombination dieser Sonder</w:t>
      </w:r>
      <w:r w:rsidR="002B5C70">
        <w:rPr>
          <w:rFonts w:ascii="Verdana" w:hAnsi="Verdana"/>
        </w:rPr>
        <w:t>-</w:t>
      </w:r>
      <w:r w:rsidR="003A019F" w:rsidRPr="00722638">
        <w:rPr>
          <w:rFonts w:ascii="Verdana" w:hAnsi="Verdana"/>
        </w:rPr>
        <w:t>Afa und dem</w:t>
      </w:r>
      <w:r w:rsidR="00F84BF9" w:rsidRPr="00722638">
        <w:rPr>
          <w:rFonts w:ascii="Verdana" w:hAnsi="Verdana"/>
        </w:rPr>
        <w:t xml:space="preserve"> KfW-Förderprogramm</w:t>
      </w:r>
      <w:r w:rsidR="003A019F" w:rsidRPr="00722638">
        <w:rPr>
          <w:rFonts w:ascii="Verdana" w:hAnsi="Verdana"/>
        </w:rPr>
        <w:t xml:space="preserve"> </w:t>
      </w:r>
      <w:r w:rsidR="00F84BF9" w:rsidRPr="00722638">
        <w:rPr>
          <w:rFonts w:ascii="Verdana" w:hAnsi="Verdana"/>
        </w:rPr>
        <w:t>„K</w:t>
      </w:r>
      <w:r w:rsidR="003A019F" w:rsidRPr="00722638">
        <w:rPr>
          <w:rFonts w:ascii="Verdana" w:hAnsi="Verdana"/>
        </w:rPr>
        <w:t>limafreundlichen Neubau</w:t>
      </w:r>
      <w:r w:rsidR="00F84BF9" w:rsidRPr="00722638">
        <w:rPr>
          <w:rFonts w:ascii="Verdana" w:hAnsi="Verdana"/>
        </w:rPr>
        <w:t>“</w:t>
      </w:r>
      <w:r w:rsidR="003A019F" w:rsidRPr="00722638">
        <w:rPr>
          <w:rFonts w:ascii="Verdana" w:hAnsi="Verdana"/>
        </w:rPr>
        <w:t xml:space="preserve"> im Niedrigpreissegment (KNN) damit umsetzbar.</w:t>
      </w:r>
    </w:p>
    <w:p w14:paraId="4867D693" w14:textId="77777777" w:rsidR="00487A70" w:rsidRPr="00487A70" w:rsidRDefault="00487A70" w:rsidP="00487A70">
      <w:pPr>
        <w:rPr>
          <w:rFonts w:ascii="Verdana" w:hAnsi="Verdana"/>
          <w:b/>
          <w:bCs/>
        </w:rPr>
      </w:pPr>
    </w:p>
    <w:p w14:paraId="529F9CD8" w14:textId="55CD9FE5" w:rsidR="00487A70" w:rsidRDefault="00487A70" w:rsidP="00487A70">
      <w:pPr>
        <w:spacing w:line="300" w:lineRule="atLeast"/>
        <w:rPr>
          <w:rFonts w:ascii="Verdana" w:hAnsi="Verdana"/>
        </w:rPr>
      </w:pPr>
      <w:r w:rsidRPr="00487A70">
        <w:rPr>
          <w:rFonts w:ascii="Verdana" w:hAnsi="Verdana"/>
          <w:b/>
          <w:bCs/>
        </w:rPr>
        <w:t>WDVS, Wärmepumpe und Photovoltaik</w:t>
      </w:r>
      <w:r w:rsidR="00800DC3">
        <w:rPr>
          <w:rFonts w:ascii="Verdana" w:hAnsi="Verdana"/>
          <w:b/>
          <w:bCs/>
        </w:rPr>
        <w:t xml:space="preserve"> = Energieeffizienz</w:t>
      </w:r>
      <w:r w:rsidRPr="00487A70">
        <w:rPr>
          <w:rFonts w:ascii="Verdana" w:hAnsi="Verdana"/>
        </w:rPr>
        <w:br/>
        <w:t>Die Außenwände sind werkseitig mit einem 20 cm starken Wärmedämmverbundsystem (WDVS) versehen. Die energieeffiziente Wärmeversorgung wird durch eine zentrale Wärmepumpe in Kombination mit einer</w:t>
      </w:r>
      <w:r w:rsidRPr="000D6BD5">
        <w:rPr>
          <w:rFonts w:ascii="Verdana" w:hAnsi="Verdana"/>
          <w:color w:val="EE0000"/>
        </w:rPr>
        <w:t xml:space="preserve"> </w:t>
      </w:r>
      <w:r w:rsidR="000D6BD5" w:rsidRPr="00722638">
        <w:rPr>
          <w:rFonts w:ascii="Verdana" w:hAnsi="Verdana"/>
        </w:rPr>
        <w:t>Betonkernaktivierung</w:t>
      </w:r>
      <w:r w:rsidRPr="00722638">
        <w:rPr>
          <w:rFonts w:ascii="Verdana" w:hAnsi="Verdana"/>
        </w:rPr>
        <w:t xml:space="preserve">, </w:t>
      </w:r>
      <w:r w:rsidRPr="00487A70">
        <w:rPr>
          <w:rFonts w:ascii="Verdana" w:hAnsi="Verdana"/>
        </w:rPr>
        <w:t xml:space="preserve">unterstützt durch eine Photovoltaikanlage auf dem Flachdach, sichergestellt. </w:t>
      </w:r>
      <w:r>
        <w:rPr>
          <w:rFonts w:ascii="Verdana" w:hAnsi="Verdana"/>
        </w:rPr>
        <w:t>E</w:t>
      </w:r>
      <w:r w:rsidRPr="00487A70">
        <w:rPr>
          <w:rFonts w:ascii="Verdana" w:hAnsi="Verdana"/>
        </w:rPr>
        <w:t>ine dezentrale Lüftung in jeder Wohneinheit</w:t>
      </w:r>
      <w:r>
        <w:rPr>
          <w:rFonts w:ascii="Verdana" w:hAnsi="Verdana"/>
        </w:rPr>
        <w:t xml:space="preserve"> sorgt f</w:t>
      </w:r>
      <w:r w:rsidRPr="00487A70">
        <w:rPr>
          <w:rFonts w:ascii="Verdana" w:hAnsi="Verdana"/>
        </w:rPr>
        <w:t xml:space="preserve">ür Frischluft und ein angenehmes Raumklima. Die Warmwasserbereitung erfolgt wohnungsweise per Durchlauferhitzer oder Speicher. Dieser Verzicht auf zentrale Großanlagen stellt sicher, </w:t>
      </w:r>
      <w:r w:rsidRPr="00487A70">
        <w:rPr>
          <w:rFonts w:ascii="Verdana" w:hAnsi="Verdana"/>
        </w:rPr>
        <w:lastRenderedPageBreak/>
        <w:t>dass die strengen Prüfpflichten der Trinkwasserverordnung (Legionellen) für den Betreiber hinfällig werden.</w:t>
      </w:r>
    </w:p>
    <w:p w14:paraId="0732756C" w14:textId="77777777" w:rsidR="00722638" w:rsidRPr="00487A70" w:rsidRDefault="00722638" w:rsidP="00487A70">
      <w:pPr>
        <w:spacing w:line="300" w:lineRule="atLeast"/>
        <w:rPr>
          <w:rFonts w:ascii="Verdana" w:hAnsi="Verdana"/>
        </w:rPr>
      </w:pPr>
    </w:p>
    <w:p w14:paraId="7F101554" w14:textId="286784C4" w:rsidR="00783556" w:rsidRDefault="00487A70" w:rsidP="00487A70">
      <w:pPr>
        <w:spacing w:line="300" w:lineRule="atLeast"/>
        <w:rPr>
          <w:rFonts w:ascii="Verdana" w:hAnsi="Verdana"/>
        </w:rPr>
      </w:pPr>
      <w:r w:rsidRPr="00487A70">
        <w:rPr>
          <w:rFonts w:ascii="Verdana" w:hAnsi="Verdana"/>
          <w:b/>
          <w:bCs/>
        </w:rPr>
        <w:t>Prozesssicherheit durch industrielle Vorfertigung</w:t>
      </w:r>
      <w:r w:rsidRPr="00487A70">
        <w:rPr>
          <w:rFonts w:ascii="Verdana" w:hAnsi="Verdana"/>
        </w:rPr>
        <w:br/>
      </w:r>
      <w:bookmarkStart w:id="3" w:name="_Hlk225849884"/>
      <w:r w:rsidR="00722638">
        <w:rPr>
          <w:rFonts w:ascii="Verdana" w:hAnsi="Verdana"/>
        </w:rPr>
        <w:t>Der modulare Geschosswohnungsbau</w:t>
      </w:r>
      <w:r w:rsidRPr="00487A70">
        <w:rPr>
          <w:rFonts w:ascii="Verdana" w:hAnsi="Verdana"/>
        </w:rPr>
        <w:t xml:space="preserve"> ist die konsequente Weiterentwicklung des bewährten ICON-Systems für Einfamilienhäuser</w:t>
      </w:r>
      <w:bookmarkEnd w:id="3"/>
      <w:r w:rsidRPr="00487A70">
        <w:rPr>
          <w:rFonts w:ascii="Verdana" w:hAnsi="Verdana"/>
        </w:rPr>
        <w:t xml:space="preserve">. Wie alle </w:t>
      </w:r>
      <w:proofErr w:type="spellStart"/>
      <w:r w:rsidRPr="00487A70">
        <w:rPr>
          <w:rFonts w:ascii="Verdana" w:hAnsi="Verdana"/>
        </w:rPr>
        <w:t>Dennert</w:t>
      </w:r>
      <w:proofErr w:type="spellEnd"/>
      <w:r w:rsidRPr="00487A70">
        <w:rPr>
          <w:rFonts w:ascii="Verdana" w:hAnsi="Verdana"/>
        </w:rPr>
        <w:t xml:space="preserve">-Lösungen werden die werkseitig bezugsfertigen Module trocken auf die Baustelle geliefert. Dies minimiert nicht nur Lärm und Schmutz vor Ort, sondern macht Bauzeiten und Kosten präzise planbar. Der nächste Entwicklungsschritt ist mit dem </w:t>
      </w:r>
      <w:r w:rsidR="0044590B">
        <w:rPr>
          <w:rFonts w:ascii="Verdana" w:hAnsi="Verdana"/>
        </w:rPr>
        <w:t xml:space="preserve">modularen </w:t>
      </w:r>
      <w:r w:rsidRPr="00487A70">
        <w:rPr>
          <w:rFonts w:ascii="Verdana" w:hAnsi="Verdana"/>
        </w:rPr>
        <w:t xml:space="preserve">Bausystem auch für den fünfgeschossigen Wohnungsbau </w:t>
      </w:r>
      <w:r w:rsidRPr="00D34AE7">
        <w:rPr>
          <w:rFonts w:ascii="Verdana" w:hAnsi="Verdana"/>
        </w:rPr>
        <w:t>(</w:t>
      </w:r>
      <w:r w:rsidR="000D6BD5" w:rsidRPr="00D34AE7">
        <w:rPr>
          <w:rFonts w:ascii="Verdana" w:hAnsi="Verdana"/>
        </w:rPr>
        <w:t xml:space="preserve">bis zur </w:t>
      </w:r>
      <w:r w:rsidRPr="00487A70">
        <w:rPr>
          <w:rFonts w:ascii="Verdana" w:hAnsi="Verdana"/>
        </w:rPr>
        <w:t>Gebäudeklasse 5) bereits definiert.</w:t>
      </w:r>
    </w:p>
    <w:p w14:paraId="4B4CE1D7" w14:textId="77777777" w:rsidR="005872C9" w:rsidRDefault="005872C9" w:rsidP="000E4F89">
      <w:pPr>
        <w:rPr>
          <w:rFonts w:ascii="Verdana" w:hAnsi="Verdana"/>
        </w:rPr>
      </w:pPr>
    </w:p>
    <w:p w14:paraId="75F6D361" w14:textId="44190AF9" w:rsidR="00C26EE9" w:rsidRPr="00C26EE9" w:rsidRDefault="00C26EE9" w:rsidP="000E4F89">
      <w:pPr>
        <w:rPr>
          <w:rFonts w:ascii="Verdana" w:hAnsi="Verdana"/>
          <w:i/>
          <w:iCs/>
        </w:rPr>
      </w:pPr>
      <w:r w:rsidRPr="00C26EE9">
        <w:rPr>
          <w:rFonts w:ascii="Verdana" w:hAnsi="Verdana"/>
          <w:i/>
          <w:iCs/>
        </w:rPr>
        <w:t>(3.</w:t>
      </w:r>
      <w:r w:rsidR="007C198E">
        <w:rPr>
          <w:rFonts w:ascii="Verdana" w:hAnsi="Verdana"/>
          <w:i/>
          <w:iCs/>
        </w:rPr>
        <w:t>78</w:t>
      </w:r>
      <w:r w:rsidR="00DA32E5">
        <w:rPr>
          <w:rFonts w:ascii="Verdana" w:hAnsi="Verdana"/>
          <w:i/>
          <w:iCs/>
        </w:rPr>
        <w:t>2</w:t>
      </w:r>
      <w:r w:rsidRPr="00C26EE9">
        <w:rPr>
          <w:rFonts w:ascii="Verdana" w:hAnsi="Verdana"/>
          <w:i/>
          <w:iCs/>
        </w:rPr>
        <w:t xml:space="preserve"> Zeichen)</w:t>
      </w:r>
    </w:p>
    <w:p w14:paraId="0C219375" w14:textId="77777777" w:rsidR="00783556" w:rsidRDefault="00783556" w:rsidP="000E4F89">
      <w:pPr>
        <w:rPr>
          <w:rFonts w:ascii="Verdana" w:hAnsi="Verdana"/>
        </w:rPr>
      </w:pPr>
    </w:p>
    <w:p w14:paraId="732FF6D9" w14:textId="536BE0D0" w:rsidR="00A86871" w:rsidRPr="00742013" w:rsidRDefault="00F072D0" w:rsidP="000E4F89">
      <w:pPr>
        <w:rPr>
          <w:rFonts w:ascii="Verdana" w:hAnsi="Verdana"/>
          <w:color w:val="000000" w:themeColor="text1"/>
        </w:rPr>
      </w:pPr>
      <w:r w:rsidRPr="00F072D0">
        <w:rPr>
          <w:rFonts w:ascii="Verdana" w:hAnsi="Verdana"/>
          <w:color w:val="000000" w:themeColor="text1"/>
        </w:rPr>
        <w:t>---------------------------------------------------------------------------------------</w:t>
      </w:r>
    </w:p>
    <w:p w14:paraId="621BD36B" w14:textId="77777777" w:rsidR="00E023BE" w:rsidRDefault="00E023BE" w:rsidP="00C26EE9">
      <w:pPr>
        <w:rPr>
          <w:rFonts w:ascii="Verdana" w:hAnsi="Verdana"/>
          <w:b/>
          <w:bCs/>
          <w:color w:val="000000" w:themeColor="text1"/>
        </w:rPr>
      </w:pPr>
    </w:p>
    <w:p w14:paraId="619919C0" w14:textId="77777777" w:rsidR="00C26EE9" w:rsidRPr="006741E5" w:rsidRDefault="00C26EE9" w:rsidP="00C26EE9">
      <w:pPr>
        <w:spacing w:line="300" w:lineRule="atLeast"/>
        <w:rPr>
          <w:rFonts w:ascii="Verdana" w:hAnsi="Verdana"/>
          <w:i/>
          <w:iCs/>
          <w:color w:val="000000" w:themeColor="text1"/>
          <w:u w:val="single"/>
        </w:rPr>
      </w:pPr>
      <w:r w:rsidRPr="006741E5">
        <w:rPr>
          <w:rFonts w:ascii="Verdana" w:hAnsi="Verdana"/>
          <w:i/>
          <w:iCs/>
          <w:color w:val="000000" w:themeColor="text1"/>
          <w:u w:val="single"/>
        </w:rPr>
        <w:t xml:space="preserve">Über </w:t>
      </w:r>
      <w:proofErr w:type="spellStart"/>
      <w:r w:rsidRPr="006741E5">
        <w:rPr>
          <w:rFonts w:ascii="Verdana" w:hAnsi="Verdana"/>
          <w:i/>
          <w:iCs/>
          <w:color w:val="000000" w:themeColor="text1"/>
          <w:u w:val="single"/>
        </w:rPr>
        <w:t>Dennert</w:t>
      </w:r>
      <w:proofErr w:type="spellEnd"/>
    </w:p>
    <w:p w14:paraId="3FD31958" w14:textId="088A562A" w:rsidR="00C26EE9" w:rsidRDefault="00C26EE9" w:rsidP="00FA3A57">
      <w:pPr>
        <w:spacing w:before="60" w:line="252" w:lineRule="auto"/>
        <w:rPr>
          <w:rFonts w:ascii="Verdana" w:hAnsi="Verdana"/>
          <w:b/>
          <w:bCs/>
          <w:color w:val="000000" w:themeColor="text1"/>
        </w:rPr>
      </w:pPr>
      <w:r w:rsidRPr="006741E5">
        <w:rPr>
          <w:rFonts w:ascii="Verdana" w:hAnsi="Verdana"/>
          <w:i/>
          <w:iCs/>
          <w:color w:val="000000" w:themeColor="text1"/>
        </w:rPr>
        <w:t xml:space="preserve">Die Veit </w:t>
      </w:r>
      <w:proofErr w:type="spellStart"/>
      <w:r w:rsidRPr="006741E5">
        <w:rPr>
          <w:rFonts w:ascii="Verdana" w:hAnsi="Verdana"/>
          <w:i/>
          <w:iCs/>
          <w:color w:val="000000" w:themeColor="text1"/>
        </w:rPr>
        <w:t>Dennert</w:t>
      </w:r>
      <w:proofErr w:type="spellEnd"/>
      <w:r w:rsidRPr="006741E5">
        <w:rPr>
          <w:rFonts w:ascii="Verdana" w:hAnsi="Verdana"/>
          <w:i/>
          <w:iCs/>
          <w:color w:val="000000" w:themeColor="text1"/>
        </w:rPr>
        <w:t xml:space="preserve"> KG mit Sitz in Schlüsselfeld (Bayern) gilt als einer der Vorreiter des modernen seriellen Bauens. Mit jahrzehntelanger Erfahrung in der industriellen Vorfertigung liefert </w:t>
      </w:r>
      <w:proofErr w:type="spellStart"/>
      <w:r w:rsidRPr="006741E5">
        <w:rPr>
          <w:rFonts w:ascii="Verdana" w:hAnsi="Verdana"/>
          <w:i/>
          <w:iCs/>
          <w:color w:val="000000" w:themeColor="text1"/>
        </w:rPr>
        <w:t>Dennert</w:t>
      </w:r>
      <w:proofErr w:type="spellEnd"/>
      <w:r w:rsidRPr="006741E5">
        <w:rPr>
          <w:rFonts w:ascii="Verdana" w:hAnsi="Verdana"/>
          <w:i/>
          <w:iCs/>
          <w:color w:val="000000" w:themeColor="text1"/>
        </w:rPr>
        <w:t xml:space="preserve"> mit seinen intelligenten Betonfertigteil- und Modulbausystemen Lösungen für den modernen Objektbau. Das Ergebnis sind wirtschaftliche, flexible und nachhaltige Gebäudekonzepte, die den Anforderungen an ESG, Ressourcenschonung und Zukunftsfähigkeit gerecht werden und bei hoher Ausführungsqualität Bauprozesse enorm verkürzen</w:t>
      </w:r>
      <w:r w:rsidR="00485E43">
        <w:rPr>
          <w:rFonts w:ascii="Verdana" w:hAnsi="Verdana"/>
          <w:i/>
          <w:iCs/>
          <w:color w:val="000000" w:themeColor="text1"/>
        </w:rPr>
        <w:t>.</w:t>
      </w:r>
    </w:p>
    <w:bookmarkEnd w:id="1"/>
    <w:p w14:paraId="6D9F668B" w14:textId="4BCF43A8" w:rsidR="0085227E" w:rsidRPr="005A366A" w:rsidRDefault="0085227E" w:rsidP="00BC4B04">
      <w:pPr>
        <w:pStyle w:val="Textkrper3"/>
        <w:spacing w:after="0"/>
        <w:rPr>
          <w:b w:val="0"/>
        </w:rPr>
      </w:pPr>
    </w:p>
    <w:p w14:paraId="1F5C8C28" w14:textId="20719B92" w:rsidR="005A57AE" w:rsidRDefault="005A57AE" w:rsidP="00DB18C1">
      <w:pPr>
        <w:pStyle w:val="Textkrper2"/>
        <w:spacing w:after="0"/>
        <w:rPr>
          <w:i/>
        </w:rPr>
      </w:pPr>
      <w:bookmarkStart w:id="4" w:name="_Hlk175238332"/>
      <w:bookmarkEnd w:id="2"/>
      <w:r w:rsidRPr="00F100D3">
        <w:t>---------------------------------------------------------------------------------------</w:t>
      </w:r>
      <w:bookmarkEnd w:id="4"/>
    </w:p>
    <w:p w14:paraId="216CA609" w14:textId="77777777" w:rsidR="006B40C6" w:rsidRDefault="006B40C6" w:rsidP="00D624AB">
      <w:pPr>
        <w:pStyle w:val="Textkrper3"/>
        <w:spacing w:after="0"/>
        <w:rPr>
          <w:i/>
          <w:color w:val="000000"/>
          <w:u w:val="single"/>
        </w:rPr>
      </w:pPr>
    </w:p>
    <w:p w14:paraId="72CBD736" w14:textId="3EC7B507" w:rsidR="004C41E6" w:rsidRPr="005A57AE" w:rsidRDefault="00774B81" w:rsidP="00FA3A57">
      <w:pPr>
        <w:spacing w:line="280" w:lineRule="atLeast"/>
        <w:rPr>
          <w:rFonts w:ascii="Verdana" w:hAnsi="Verdana"/>
          <w:color w:val="000000"/>
        </w:rPr>
      </w:pPr>
      <w:bookmarkStart w:id="5" w:name="OLE_LINK1"/>
      <w:r w:rsidRPr="00C26EE9">
        <w:rPr>
          <w:rFonts w:ascii="Verdana" w:hAnsi="Verdana"/>
          <w:color w:val="000000"/>
        </w:rPr>
        <w:t xml:space="preserve">Veit </w:t>
      </w:r>
      <w:proofErr w:type="spellStart"/>
      <w:r w:rsidRPr="00C26EE9">
        <w:rPr>
          <w:rFonts w:ascii="Verdana" w:hAnsi="Verdana"/>
          <w:color w:val="000000"/>
        </w:rPr>
        <w:t>Dennert</w:t>
      </w:r>
      <w:proofErr w:type="spellEnd"/>
      <w:r w:rsidRPr="00C26EE9">
        <w:rPr>
          <w:rFonts w:ascii="Verdana" w:hAnsi="Verdana"/>
          <w:color w:val="000000"/>
        </w:rPr>
        <w:t xml:space="preserve"> KG</w:t>
      </w:r>
    </w:p>
    <w:p w14:paraId="110C3299" w14:textId="77777777" w:rsidR="004C41E6" w:rsidRPr="005A57AE" w:rsidRDefault="004C41E6" w:rsidP="00FA3A57">
      <w:pPr>
        <w:spacing w:line="280" w:lineRule="atLeast"/>
        <w:rPr>
          <w:rFonts w:ascii="Verdana" w:hAnsi="Verdana"/>
          <w:color w:val="000000"/>
        </w:rPr>
      </w:pPr>
      <w:r w:rsidRPr="005A57AE">
        <w:rPr>
          <w:rFonts w:ascii="Verdana" w:hAnsi="Verdana"/>
          <w:color w:val="000000"/>
        </w:rPr>
        <w:t>Veit-</w:t>
      </w:r>
      <w:proofErr w:type="spellStart"/>
      <w:r w:rsidRPr="005A57AE">
        <w:rPr>
          <w:rFonts w:ascii="Verdana" w:hAnsi="Verdana"/>
          <w:color w:val="000000"/>
        </w:rPr>
        <w:t>Dennert</w:t>
      </w:r>
      <w:proofErr w:type="spellEnd"/>
      <w:r w:rsidRPr="005A57AE">
        <w:rPr>
          <w:rFonts w:ascii="Verdana" w:hAnsi="Verdana"/>
          <w:color w:val="000000"/>
        </w:rPr>
        <w:t>-Straße 7</w:t>
      </w:r>
    </w:p>
    <w:p w14:paraId="1BFDD45A" w14:textId="77777777" w:rsidR="004C41E6" w:rsidRDefault="004C41E6" w:rsidP="00FA3A57">
      <w:pPr>
        <w:spacing w:line="280" w:lineRule="atLeast"/>
        <w:rPr>
          <w:rFonts w:ascii="Verdana" w:hAnsi="Verdana"/>
          <w:color w:val="000000"/>
        </w:rPr>
      </w:pPr>
      <w:r w:rsidRPr="005A57AE">
        <w:rPr>
          <w:rFonts w:ascii="Verdana" w:hAnsi="Verdana"/>
          <w:color w:val="000000"/>
        </w:rPr>
        <w:t xml:space="preserve">96132 Schlüsselfeld </w:t>
      </w:r>
    </w:p>
    <w:p w14:paraId="73C84015" w14:textId="7622055E" w:rsidR="004C41E6" w:rsidRPr="005A57AE" w:rsidRDefault="004C41E6" w:rsidP="00FA3A57">
      <w:pPr>
        <w:spacing w:line="280" w:lineRule="atLeast"/>
        <w:rPr>
          <w:rFonts w:ascii="Verdana" w:hAnsi="Verdana"/>
          <w:color w:val="000000"/>
        </w:rPr>
      </w:pPr>
      <w:r w:rsidRPr="00EB7C89">
        <w:rPr>
          <w:rFonts w:ascii="Verdana" w:hAnsi="Verdana"/>
          <w:color w:val="000000"/>
        </w:rPr>
        <w:t>Tel. +49 (0)9552 / 71-</w:t>
      </w:r>
      <w:r w:rsidR="000479B1">
        <w:rPr>
          <w:rFonts w:ascii="Verdana" w:hAnsi="Verdana"/>
          <w:color w:val="000000"/>
        </w:rPr>
        <w:t>0</w:t>
      </w:r>
    </w:p>
    <w:p w14:paraId="5319C41C" w14:textId="6548E93C" w:rsidR="004C41E6" w:rsidRPr="005A57AE" w:rsidRDefault="004C41E6" w:rsidP="00FA3A57">
      <w:pPr>
        <w:spacing w:line="280" w:lineRule="atLeast"/>
        <w:rPr>
          <w:rFonts w:ascii="Verdana" w:hAnsi="Verdana"/>
          <w:color w:val="000000"/>
        </w:rPr>
      </w:pPr>
      <w:r w:rsidRPr="005A57AE">
        <w:rPr>
          <w:rFonts w:ascii="Verdana" w:hAnsi="Verdana"/>
          <w:color w:val="000000"/>
        </w:rPr>
        <w:t xml:space="preserve">E-Mail: </w:t>
      </w:r>
      <w:r w:rsidR="000479B1">
        <w:rPr>
          <w:rFonts w:ascii="Verdana" w:hAnsi="Verdana"/>
          <w:color w:val="000000"/>
        </w:rPr>
        <w:t>info@dennert.de</w:t>
      </w:r>
    </w:p>
    <w:p w14:paraId="421844E0" w14:textId="2F64FCBB" w:rsidR="00BB0466" w:rsidRPr="005A57AE" w:rsidRDefault="00BB0466" w:rsidP="00FA3A57">
      <w:pPr>
        <w:spacing w:line="280" w:lineRule="atLeast"/>
        <w:rPr>
          <w:rFonts w:ascii="Verdana" w:hAnsi="Verdana"/>
          <w:color w:val="000000"/>
        </w:rPr>
      </w:pPr>
      <w:r w:rsidRPr="005A57AE">
        <w:rPr>
          <w:rFonts w:ascii="Verdana" w:hAnsi="Verdana"/>
          <w:color w:val="000000"/>
        </w:rPr>
        <w:t>www.dennert</w:t>
      </w:r>
      <w:r>
        <w:rPr>
          <w:rFonts w:ascii="Verdana" w:hAnsi="Verdana"/>
          <w:color w:val="000000"/>
        </w:rPr>
        <w:t>.de</w:t>
      </w: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5"/>
    <w:p w14:paraId="7E96E9D9" w14:textId="1888E180" w:rsidR="00DB763C" w:rsidRDefault="00DB763C" w:rsidP="00264553">
      <w:pPr>
        <w:pStyle w:val="StandardWeb"/>
        <w:spacing w:before="0" w:beforeAutospacing="0" w:after="0" w:afterAutospacing="0"/>
        <w:rPr>
          <w:rFonts w:ascii="Verdana" w:hAnsi="Verdana" w:cs="Arial"/>
          <w:sz w:val="21"/>
          <w:szCs w:val="21"/>
          <w:u w:val="single"/>
        </w:rPr>
      </w:pPr>
      <w:r w:rsidRPr="00F100D3">
        <w:t>---------------------------------------------------------------------------------------</w:t>
      </w:r>
    </w:p>
    <w:p w14:paraId="00F842AB" w14:textId="77777777" w:rsidR="00DB763C" w:rsidRDefault="00DB763C" w:rsidP="00DB763C">
      <w:pPr>
        <w:pStyle w:val="Textkrper3"/>
        <w:spacing w:after="0"/>
        <w:rPr>
          <w:i/>
          <w:color w:val="000000"/>
          <w:u w:val="single"/>
        </w:rPr>
      </w:pPr>
    </w:p>
    <w:p w14:paraId="6CF71A89" w14:textId="6334F06C" w:rsidR="00DB763C" w:rsidRDefault="00DB763C" w:rsidP="00DB763C">
      <w:pPr>
        <w:pStyle w:val="Textkrper3"/>
        <w:spacing w:after="0"/>
        <w:rPr>
          <w:i/>
          <w:color w:val="000000"/>
        </w:rPr>
      </w:pPr>
      <w:r>
        <w:rPr>
          <w:i/>
          <w:color w:val="000000"/>
          <w:u w:val="single"/>
        </w:rPr>
        <w:t>Bilder:</w:t>
      </w:r>
    </w:p>
    <w:p w14:paraId="5EC1E7EA" w14:textId="686663CF" w:rsidR="00DB763C" w:rsidRPr="004F2BD5" w:rsidRDefault="00DB763C" w:rsidP="00DB763C">
      <w:pPr>
        <w:spacing w:before="120"/>
        <w:rPr>
          <w:rFonts w:ascii="Verdana" w:hAnsi="Verdana"/>
          <w:i/>
          <w:iCs/>
          <w:color w:val="000000"/>
        </w:rPr>
      </w:pPr>
      <w:r w:rsidRPr="00DB763C">
        <w:rPr>
          <w:rFonts w:ascii="Verdana" w:hAnsi="Verdana"/>
          <w:b/>
          <w:i/>
          <w:color w:val="000000"/>
        </w:rPr>
        <w:t>1</w:t>
      </w:r>
      <w:r>
        <w:rPr>
          <w:rFonts w:ascii="Verdana" w:hAnsi="Verdana"/>
          <w:b/>
          <w:i/>
          <w:color w:val="000000"/>
        </w:rPr>
        <w:t>_</w:t>
      </w:r>
      <w:r w:rsidRPr="00DB763C">
        <w:rPr>
          <w:rFonts w:ascii="Verdana" w:hAnsi="Verdana"/>
          <w:b/>
          <w:i/>
          <w:color w:val="000000"/>
        </w:rPr>
        <w:t>Modul-Geschosswohnungsbau_Dennert</w:t>
      </w:r>
      <w:r>
        <w:rPr>
          <w:rFonts w:ascii="Verdana" w:hAnsi="Verdana"/>
          <w:b/>
          <w:i/>
          <w:color w:val="000000"/>
        </w:rPr>
        <w:t>:</w:t>
      </w:r>
      <w:r>
        <w:rPr>
          <w:rFonts w:ascii="Verdana" w:hAnsi="Verdana"/>
          <w:i/>
          <w:color w:val="000000"/>
        </w:rPr>
        <w:t xml:space="preserve"> Mehr Bautempo, weniger Bürokratie: </w:t>
      </w:r>
      <w:proofErr w:type="spellStart"/>
      <w:r>
        <w:rPr>
          <w:rFonts w:ascii="Verdana" w:hAnsi="Verdana"/>
          <w:i/>
          <w:color w:val="000000"/>
        </w:rPr>
        <w:t>Dennert</w:t>
      </w:r>
      <w:proofErr w:type="spellEnd"/>
      <w:r>
        <w:rPr>
          <w:rFonts w:ascii="Verdana" w:hAnsi="Verdana"/>
          <w:i/>
          <w:color w:val="000000"/>
        </w:rPr>
        <w:t xml:space="preserve"> setzt </w:t>
      </w:r>
      <w:r w:rsidR="00EE3485">
        <w:rPr>
          <w:rFonts w:ascii="Verdana" w:hAnsi="Verdana"/>
          <w:i/>
          <w:color w:val="000000"/>
        </w:rPr>
        <w:t xml:space="preserve">auch </w:t>
      </w:r>
      <w:r>
        <w:rPr>
          <w:rFonts w:ascii="Verdana" w:hAnsi="Verdana"/>
          <w:i/>
          <w:color w:val="000000"/>
        </w:rPr>
        <w:t>im Geschosswohnbau</w:t>
      </w:r>
      <w:r w:rsidR="004F2BD5">
        <w:rPr>
          <w:rFonts w:ascii="Verdana" w:hAnsi="Verdana"/>
          <w:i/>
          <w:color w:val="000000"/>
        </w:rPr>
        <w:t xml:space="preserve"> künftig auf eine </w:t>
      </w:r>
      <w:r w:rsidR="004F2BD5" w:rsidRPr="004F2BD5">
        <w:rPr>
          <w:rFonts w:ascii="Verdana" w:hAnsi="Verdana"/>
          <w:i/>
          <w:iCs/>
        </w:rPr>
        <w:t>massive und hybride Modulbauweise</w:t>
      </w:r>
      <w:r w:rsidRPr="004F2BD5">
        <w:rPr>
          <w:rFonts w:ascii="Verdana" w:hAnsi="Verdana"/>
          <w:i/>
          <w:iCs/>
        </w:rPr>
        <w:t>.</w:t>
      </w:r>
      <w:r w:rsidRPr="004F2BD5">
        <w:rPr>
          <w:rFonts w:ascii="Verdana" w:hAnsi="Verdana" w:cs="Arial"/>
          <w:i/>
          <w:iCs/>
        </w:rPr>
        <w:t xml:space="preserve"> (Bild: </w:t>
      </w:r>
      <w:proofErr w:type="spellStart"/>
      <w:r w:rsidRPr="004F2BD5">
        <w:rPr>
          <w:rFonts w:ascii="Verdana" w:hAnsi="Verdana" w:cs="Arial"/>
          <w:i/>
          <w:iCs/>
        </w:rPr>
        <w:t>Dennert</w:t>
      </w:r>
      <w:proofErr w:type="spellEnd"/>
      <w:r w:rsidRPr="004F2BD5">
        <w:rPr>
          <w:rFonts w:ascii="Verdana" w:hAnsi="Verdana" w:cs="Arial"/>
          <w:i/>
          <w:iCs/>
        </w:rPr>
        <w:t>)</w:t>
      </w:r>
    </w:p>
    <w:p w14:paraId="4FEAD672" w14:textId="77777777" w:rsidR="00DB763C" w:rsidRPr="00F23D1A" w:rsidRDefault="00DB763C" w:rsidP="00DB763C">
      <w:pPr>
        <w:pStyle w:val="Textkrper3"/>
        <w:spacing w:after="0"/>
        <w:rPr>
          <w:i/>
          <w:color w:val="000000"/>
        </w:rPr>
      </w:pPr>
    </w:p>
    <w:p w14:paraId="7F31B677" w14:textId="73E698B9" w:rsidR="00DB763C" w:rsidRPr="005F0C83" w:rsidRDefault="00DB763C" w:rsidP="00DB763C">
      <w:pPr>
        <w:pStyle w:val="Textkrper3"/>
        <w:spacing w:after="0"/>
        <w:rPr>
          <w:b w:val="0"/>
          <w:i/>
          <w:color w:val="000000"/>
        </w:rPr>
      </w:pPr>
      <w:r>
        <w:rPr>
          <w:i/>
          <w:color w:val="000000"/>
        </w:rPr>
        <w:t>2_</w:t>
      </w:r>
      <w:r w:rsidRPr="00DB763C">
        <w:rPr>
          <w:i/>
          <w:color w:val="000000"/>
        </w:rPr>
        <w:t>Modul-Geschosswohnungsbau_Dennert</w:t>
      </w:r>
      <w:r w:rsidRPr="00616D13">
        <w:rPr>
          <w:b w:val="0"/>
          <w:bCs/>
          <w:i/>
          <w:color w:val="000000"/>
        </w:rPr>
        <w:t xml:space="preserve">: </w:t>
      </w:r>
      <w:r w:rsidR="004F2BD5" w:rsidRPr="004F2BD5">
        <w:rPr>
          <w:b w:val="0"/>
          <w:bCs/>
          <w:i/>
          <w:iCs/>
        </w:rPr>
        <w:t xml:space="preserve">Das neue Bausystem ist die konsequente Weiterentwicklung des bewährten ICON-Systems für Einfamilienhäuser. </w:t>
      </w:r>
      <w:r w:rsidR="004F2BD5">
        <w:rPr>
          <w:b w:val="0"/>
          <w:bCs/>
          <w:i/>
          <w:iCs/>
        </w:rPr>
        <w:t>A</w:t>
      </w:r>
      <w:r w:rsidR="004F2BD5" w:rsidRPr="004F2BD5">
        <w:rPr>
          <w:b w:val="0"/>
          <w:bCs/>
          <w:i/>
          <w:iCs/>
        </w:rPr>
        <w:t xml:space="preserve">lle </w:t>
      </w:r>
      <w:r w:rsidR="004F2BD5">
        <w:rPr>
          <w:b w:val="0"/>
          <w:bCs/>
          <w:i/>
          <w:iCs/>
        </w:rPr>
        <w:t>Module</w:t>
      </w:r>
      <w:r w:rsidR="004F2BD5" w:rsidRPr="004F2BD5">
        <w:rPr>
          <w:b w:val="0"/>
          <w:bCs/>
          <w:i/>
          <w:iCs/>
        </w:rPr>
        <w:t xml:space="preserve"> werden </w:t>
      </w:r>
      <w:r w:rsidR="004F2BD5">
        <w:rPr>
          <w:b w:val="0"/>
          <w:bCs/>
          <w:i/>
          <w:iCs/>
        </w:rPr>
        <w:t xml:space="preserve">trocken und </w:t>
      </w:r>
      <w:r w:rsidR="004F2BD5" w:rsidRPr="004F2BD5">
        <w:rPr>
          <w:b w:val="0"/>
          <w:bCs/>
          <w:i/>
          <w:iCs/>
        </w:rPr>
        <w:t>bezugsfertig auf die Baustelle geliefert</w:t>
      </w:r>
      <w:r w:rsidRPr="004F2BD5">
        <w:rPr>
          <w:b w:val="0"/>
          <w:bCs/>
          <w:i/>
          <w:iCs/>
          <w:color w:val="000000"/>
        </w:rPr>
        <w:t>.</w:t>
      </w:r>
      <w:r w:rsidRPr="005F0C83">
        <w:rPr>
          <w:b w:val="0"/>
          <w:i/>
          <w:color w:val="000000"/>
        </w:rPr>
        <w:t xml:space="preserve"> </w:t>
      </w:r>
      <w:r w:rsidRPr="005F0C83">
        <w:rPr>
          <w:b w:val="0"/>
          <w:i/>
        </w:rPr>
        <w:t xml:space="preserve">(Bild: </w:t>
      </w:r>
      <w:proofErr w:type="spellStart"/>
      <w:r w:rsidRPr="005F0C83">
        <w:rPr>
          <w:b w:val="0"/>
          <w:i/>
        </w:rPr>
        <w:t>Dennert</w:t>
      </w:r>
      <w:proofErr w:type="spellEnd"/>
      <w:r w:rsidRPr="005F0C83">
        <w:rPr>
          <w:b w:val="0"/>
          <w:i/>
        </w:rPr>
        <w:t>)</w:t>
      </w:r>
      <w:r w:rsidRPr="005F0C83">
        <w:rPr>
          <w:b w:val="0"/>
          <w:i/>
          <w:color w:val="000000"/>
        </w:rPr>
        <w:t xml:space="preserve"> </w:t>
      </w:r>
    </w:p>
    <w:p w14:paraId="3131F861" w14:textId="77777777" w:rsidR="00DB763C" w:rsidRDefault="00DB763C" w:rsidP="00DB763C">
      <w:pPr>
        <w:pStyle w:val="Textkrper3"/>
        <w:spacing w:after="0"/>
        <w:rPr>
          <w:i/>
          <w:color w:val="000000"/>
        </w:rPr>
      </w:pPr>
    </w:p>
    <w:p w14:paraId="65127289" w14:textId="599AE8FB" w:rsidR="00DB763C" w:rsidRPr="005F0C83" w:rsidRDefault="00DB763C" w:rsidP="00DB763C">
      <w:pPr>
        <w:rPr>
          <w:rFonts w:ascii="Verdana" w:hAnsi="Verdana"/>
          <w:i/>
        </w:rPr>
      </w:pPr>
      <w:r>
        <w:rPr>
          <w:rFonts w:ascii="Verdana" w:hAnsi="Verdana"/>
          <w:b/>
          <w:i/>
          <w:color w:val="000000"/>
        </w:rPr>
        <w:t>3_</w:t>
      </w:r>
      <w:r w:rsidRPr="00DB763C">
        <w:rPr>
          <w:rFonts w:ascii="Verdana" w:hAnsi="Verdana"/>
          <w:b/>
          <w:i/>
          <w:color w:val="000000"/>
        </w:rPr>
        <w:t>Modul-Geschosswohnungsbau_Dennert</w:t>
      </w:r>
      <w:r>
        <w:rPr>
          <w:rFonts w:ascii="Verdana" w:hAnsi="Verdana"/>
          <w:b/>
          <w:i/>
          <w:color w:val="000000"/>
        </w:rPr>
        <w:t>:</w:t>
      </w:r>
      <w:r w:rsidR="004F2BD5" w:rsidRPr="004F2BD5">
        <w:rPr>
          <w:rFonts w:ascii="Verdana" w:hAnsi="Verdana"/>
          <w:i/>
          <w:iCs/>
        </w:rPr>
        <w:t xml:space="preserve"> </w:t>
      </w:r>
      <w:r w:rsidR="00755125" w:rsidRPr="00755125">
        <w:rPr>
          <w:rFonts w:ascii="Verdana" w:hAnsi="Verdana"/>
          <w:i/>
          <w:iCs/>
        </w:rPr>
        <w:t>Die Innenwände sind bereits ab Werk integriert und mit passgenauen Türaussparungen versehen</w:t>
      </w:r>
      <w:r w:rsidR="00755125">
        <w:rPr>
          <w:rFonts w:ascii="Verdana" w:hAnsi="Verdana"/>
          <w:i/>
          <w:iCs/>
        </w:rPr>
        <w:t>.</w:t>
      </w:r>
      <w:r w:rsidR="00755125" w:rsidRPr="00755125">
        <w:rPr>
          <w:rFonts w:ascii="Verdana" w:hAnsi="Verdana"/>
          <w:i/>
          <w:iCs/>
        </w:rPr>
        <w:t xml:space="preserve"> </w:t>
      </w:r>
      <w:r w:rsidR="004F2BD5" w:rsidRPr="00755125">
        <w:rPr>
          <w:rFonts w:ascii="Verdana" w:hAnsi="Verdana"/>
          <w:i/>
          <w:iCs/>
        </w:rPr>
        <w:t>Im Vorfeld erstellte</w:t>
      </w:r>
      <w:r w:rsidR="004F2BD5" w:rsidRPr="004F2BD5">
        <w:rPr>
          <w:rFonts w:ascii="Verdana" w:hAnsi="Verdana"/>
          <w:i/>
          <w:iCs/>
        </w:rPr>
        <w:t>, standardisierte statische Berechnungen beschleunigen den Genehmigungsprozess für Gebäude bis zur Gebäudeklasse 3 deutlich</w:t>
      </w:r>
      <w:r w:rsidRPr="004F2BD5">
        <w:rPr>
          <w:rFonts w:ascii="Verdana" w:hAnsi="Verdana"/>
          <w:i/>
          <w:iCs/>
        </w:rPr>
        <w:t>.</w:t>
      </w:r>
      <w:r>
        <w:rPr>
          <w:rFonts w:ascii="Verdana" w:hAnsi="Verdana"/>
          <w:i/>
        </w:rPr>
        <w:t xml:space="preserve"> </w:t>
      </w:r>
      <w:r w:rsidRPr="005F0C83">
        <w:rPr>
          <w:rFonts w:ascii="Verdana" w:hAnsi="Verdana"/>
          <w:i/>
        </w:rPr>
        <w:t xml:space="preserve">(Bild: </w:t>
      </w:r>
      <w:proofErr w:type="spellStart"/>
      <w:r w:rsidRPr="005F0C83">
        <w:rPr>
          <w:rFonts w:ascii="Verdana" w:hAnsi="Verdana"/>
          <w:i/>
        </w:rPr>
        <w:t>Dennert</w:t>
      </w:r>
      <w:proofErr w:type="spellEnd"/>
      <w:r w:rsidRPr="005F0C83">
        <w:rPr>
          <w:rFonts w:ascii="Verdana" w:hAnsi="Verdana"/>
          <w:i/>
        </w:rPr>
        <w:t>)</w:t>
      </w:r>
    </w:p>
    <w:p w14:paraId="0FC0CEAF" w14:textId="77777777" w:rsidR="00DB763C" w:rsidRDefault="00DB763C" w:rsidP="00DB763C">
      <w:pPr>
        <w:rPr>
          <w:rFonts w:ascii="Verdana" w:hAnsi="Verdana"/>
          <w:i/>
        </w:rPr>
      </w:pPr>
    </w:p>
    <w:p w14:paraId="72C5CC0A" w14:textId="6F962DC2" w:rsidR="00DB763C" w:rsidRPr="00B72E2C" w:rsidRDefault="00DB763C" w:rsidP="00DB763C">
      <w:pPr>
        <w:pStyle w:val="Textkrper3"/>
        <w:spacing w:after="0"/>
        <w:rPr>
          <w:b w:val="0"/>
          <w:i/>
        </w:rPr>
      </w:pPr>
      <w:r>
        <w:rPr>
          <w:bCs/>
          <w:i/>
          <w:color w:val="000000"/>
        </w:rPr>
        <w:t>4_</w:t>
      </w:r>
      <w:r w:rsidRPr="00DB763C">
        <w:rPr>
          <w:bCs/>
          <w:i/>
          <w:color w:val="000000"/>
        </w:rPr>
        <w:t>Modul-Geschosswohnungsbau_Dennert</w:t>
      </w:r>
      <w:r>
        <w:rPr>
          <w:i/>
          <w:color w:val="000000"/>
        </w:rPr>
        <w:t xml:space="preserve">: </w:t>
      </w:r>
      <w:r w:rsidR="00EE3485" w:rsidRPr="00EE3485">
        <w:rPr>
          <w:b w:val="0"/>
          <w:bCs/>
          <w:i/>
          <w:iCs/>
        </w:rPr>
        <w:t>Trotz estrichfreier Ausführung erreichen die Module den erhöhten Schallschutz-Standard nach DIN 4109-2015</w:t>
      </w:r>
      <w:r w:rsidRPr="00EE3485">
        <w:rPr>
          <w:b w:val="0"/>
          <w:bCs/>
          <w:i/>
          <w:iCs/>
        </w:rPr>
        <w:t>.</w:t>
      </w:r>
      <w:r w:rsidRPr="00B72E2C">
        <w:rPr>
          <w:b w:val="0"/>
          <w:i/>
        </w:rPr>
        <w:t xml:space="preserve"> (Bild: </w:t>
      </w:r>
      <w:proofErr w:type="spellStart"/>
      <w:r w:rsidRPr="00B72E2C">
        <w:rPr>
          <w:b w:val="0"/>
          <w:i/>
        </w:rPr>
        <w:t>Dennert</w:t>
      </w:r>
      <w:proofErr w:type="spellEnd"/>
      <w:r w:rsidRPr="00B72E2C">
        <w:rPr>
          <w:b w:val="0"/>
          <w:i/>
        </w:rPr>
        <w:t>)</w:t>
      </w:r>
    </w:p>
    <w:p w14:paraId="29318BE1" w14:textId="77777777" w:rsidR="00DB763C" w:rsidRDefault="00DB763C" w:rsidP="00DB763C">
      <w:pPr>
        <w:rPr>
          <w:rFonts w:ascii="Verdana" w:hAnsi="Verdana"/>
          <w:i/>
        </w:rPr>
      </w:pPr>
    </w:p>
    <w:p w14:paraId="6CCFEE1C" w14:textId="2438F490" w:rsidR="00DB763C" w:rsidRPr="00B72E2C" w:rsidRDefault="00DB763C" w:rsidP="00DB763C">
      <w:pPr>
        <w:rPr>
          <w:rFonts w:ascii="Verdana" w:hAnsi="Verdana"/>
          <w:i/>
        </w:rPr>
      </w:pPr>
      <w:r>
        <w:rPr>
          <w:rFonts w:ascii="Verdana" w:hAnsi="Verdana"/>
          <w:b/>
          <w:i/>
          <w:color w:val="000000"/>
        </w:rPr>
        <w:t>5_</w:t>
      </w:r>
      <w:r w:rsidRPr="00DB763C">
        <w:rPr>
          <w:rFonts w:ascii="Verdana" w:hAnsi="Verdana"/>
          <w:b/>
          <w:i/>
          <w:color w:val="000000"/>
        </w:rPr>
        <w:t>Grundriss_Geschosswohnungsbau</w:t>
      </w:r>
      <w:r>
        <w:rPr>
          <w:rFonts w:ascii="Verdana" w:hAnsi="Verdana"/>
          <w:b/>
          <w:i/>
          <w:color w:val="000000"/>
        </w:rPr>
        <w:t>_</w:t>
      </w:r>
      <w:r w:rsidR="00F32E00">
        <w:rPr>
          <w:rFonts w:ascii="Verdana" w:hAnsi="Verdana"/>
          <w:b/>
          <w:i/>
          <w:color w:val="000000"/>
        </w:rPr>
        <w:t>2</w:t>
      </w:r>
      <w:r w:rsidRPr="00DB763C">
        <w:rPr>
          <w:rFonts w:ascii="Verdana" w:hAnsi="Verdana"/>
          <w:b/>
          <w:i/>
          <w:color w:val="000000"/>
        </w:rPr>
        <w:t>-Module</w:t>
      </w:r>
      <w:r>
        <w:rPr>
          <w:rFonts w:ascii="Verdana" w:hAnsi="Verdana"/>
          <w:b/>
          <w:i/>
          <w:color w:val="000000"/>
        </w:rPr>
        <w:t xml:space="preserve">: </w:t>
      </w:r>
      <w:r w:rsidR="00F32E00">
        <w:rPr>
          <w:rFonts w:ascii="Verdana" w:hAnsi="Verdana"/>
          <w:i/>
          <w:iCs/>
        </w:rPr>
        <w:t xml:space="preserve">Grundriss einer </w:t>
      </w:r>
      <w:proofErr w:type="spellStart"/>
      <w:r w:rsidR="00F32E00">
        <w:rPr>
          <w:rFonts w:ascii="Verdana" w:hAnsi="Verdana"/>
          <w:i/>
          <w:iCs/>
        </w:rPr>
        <w:t>zweimoduligen</w:t>
      </w:r>
      <w:proofErr w:type="spellEnd"/>
      <w:r w:rsidR="00F32E00">
        <w:rPr>
          <w:rFonts w:ascii="Verdana" w:hAnsi="Verdana"/>
          <w:i/>
          <w:iCs/>
        </w:rPr>
        <w:t xml:space="preserve"> Wohnung mit ca. 41 m² Wohnfläche</w:t>
      </w:r>
      <w:r w:rsidR="00F32E00" w:rsidRPr="004F2BED">
        <w:rPr>
          <w:rFonts w:ascii="Verdana" w:hAnsi="Verdana"/>
          <w:bCs/>
          <w:i/>
          <w:iCs/>
        </w:rPr>
        <w:t>.</w:t>
      </w:r>
      <w:r w:rsidR="00F32E00" w:rsidRPr="00054314">
        <w:rPr>
          <w:rFonts w:ascii="Verdana" w:hAnsi="Verdana"/>
          <w:i/>
          <w:color w:val="000000"/>
        </w:rPr>
        <w:t xml:space="preserve"> </w:t>
      </w:r>
      <w:r w:rsidR="00F32E00" w:rsidRPr="00054314">
        <w:rPr>
          <w:rFonts w:ascii="Verdana" w:hAnsi="Verdana"/>
          <w:i/>
        </w:rPr>
        <w:t xml:space="preserve">(Bild: </w:t>
      </w:r>
      <w:proofErr w:type="spellStart"/>
      <w:r w:rsidR="00F32E00" w:rsidRPr="00054314">
        <w:rPr>
          <w:rFonts w:ascii="Verdana" w:hAnsi="Verdana"/>
          <w:i/>
        </w:rPr>
        <w:t>Dennert</w:t>
      </w:r>
      <w:proofErr w:type="spellEnd"/>
      <w:r w:rsidR="00F32E00" w:rsidRPr="00054314">
        <w:rPr>
          <w:rFonts w:ascii="Verdana" w:hAnsi="Verdana"/>
          <w:i/>
        </w:rPr>
        <w:t>)</w:t>
      </w:r>
      <w:r w:rsidRPr="00B72E2C">
        <w:rPr>
          <w:rFonts w:ascii="Verdana" w:hAnsi="Verdana"/>
          <w:i/>
        </w:rPr>
        <w:t xml:space="preserve"> </w:t>
      </w:r>
    </w:p>
    <w:p w14:paraId="7FEE8AEC" w14:textId="77777777" w:rsidR="00DB763C" w:rsidRDefault="00DB763C" w:rsidP="00DB763C">
      <w:pPr>
        <w:rPr>
          <w:rFonts w:ascii="Verdana" w:hAnsi="Verdana"/>
          <w:i/>
        </w:rPr>
      </w:pPr>
    </w:p>
    <w:p w14:paraId="7D548F85" w14:textId="67FB2AC6" w:rsidR="00DB763C" w:rsidRDefault="00DB763C" w:rsidP="00DB763C">
      <w:pPr>
        <w:rPr>
          <w:rFonts w:ascii="Verdana" w:hAnsi="Verdana"/>
          <w:i/>
        </w:rPr>
      </w:pPr>
      <w:r>
        <w:rPr>
          <w:rFonts w:ascii="Verdana" w:hAnsi="Verdana"/>
          <w:b/>
          <w:i/>
          <w:color w:val="000000"/>
        </w:rPr>
        <w:t>6</w:t>
      </w:r>
      <w:r w:rsidRPr="00DB763C">
        <w:rPr>
          <w:rFonts w:ascii="Verdana" w:hAnsi="Verdana"/>
          <w:b/>
          <w:i/>
          <w:color w:val="000000"/>
        </w:rPr>
        <w:t>_Grundriss_Geschosswohnungsbau</w:t>
      </w:r>
      <w:r>
        <w:rPr>
          <w:rFonts w:ascii="Verdana" w:hAnsi="Verdana"/>
          <w:b/>
          <w:i/>
          <w:color w:val="000000"/>
        </w:rPr>
        <w:t>_3</w:t>
      </w:r>
      <w:r w:rsidRPr="00DB763C">
        <w:rPr>
          <w:rFonts w:ascii="Verdana" w:hAnsi="Verdana"/>
          <w:b/>
          <w:i/>
          <w:color w:val="000000"/>
        </w:rPr>
        <w:t>-Module</w:t>
      </w:r>
      <w:r>
        <w:rPr>
          <w:rFonts w:ascii="Verdana" w:hAnsi="Verdana"/>
          <w:b/>
          <w:i/>
          <w:color w:val="000000"/>
        </w:rPr>
        <w:t xml:space="preserve">: </w:t>
      </w:r>
      <w:r w:rsidR="00EE3485">
        <w:rPr>
          <w:rFonts w:ascii="Verdana" w:hAnsi="Verdana"/>
          <w:i/>
          <w:iCs/>
        </w:rPr>
        <w:t xml:space="preserve">Grundriss einer </w:t>
      </w:r>
      <w:proofErr w:type="spellStart"/>
      <w:r w:rsidR="00EE3485">
        <w:rPr>
          <w:rFonts w:ascii="Verdana" w:hAnsi="Verdana"/>
          <w:i/>
          <w:iCs/>
        </w:rPr>
        <w:t>dreimoduligen</w:t>
      </w:r>
      <w:proofErr w:type="spellEnd"/>
      <w:r w:rsidR="00EE3485">
        <w:rPr>
          <w:rFonts w:ascii="Verdana" w:hAnsi="Verdana"/>
          <w:i/>
          <w:iCs/>
        </w:rPr>
        <w:t xml:space="preserve"> Wohnung mit ca. 64 m² Wohnfläche</w:t>
      </w:r>
      <w:r w:rsidRPr="004F2BED">
        <w:rPr>
          <w:rFonts w:ascii="Verdana" w:hAnsi="Verdana"/>
          <w:bCs/>
          <w:i/>
          <w:iCs/>
        </w:rPr>
        <w:t>.</w:t>
      </w:r>
      <w:r w:rsidRPr="00054314">
        <w:rPr>
          <w:rFonts w:ascii="Verdana" w:hAnsi="Verdana"/>
          <w:i/>
          <w:color w:val="000000"/>
        </w:rPr>
        <w:t xml:space="preserve"> </w:t>
      </w:r>
      <w:r w:rsidRPr="00054314">
        <w:rPr>
          <w:rFonts w:ascii="Verdana" w:hAnsi="Verdana"/>
          <w:i/>
        </w:rPr>
        <w:t xml:space="preserve">(Bild: </w:t>
      </w:r>
      <w:proofErr w:type="spellStart"/>
      <w:r w:rsidRPr="00054314">
        <w:rPr>
          <w:rFonts w:ascii="Verdana" w:hAnsi="Verdana"/>
          <w:i/>
        </w:rPr>
        <w:t>Dennert</w:t>
      </w:r>
      <w:proofErr w:type="spellEnd"/>
      <w:r w:rsidRPr="00054314">
        <w:rPr>
          <w:rFonts w:ascii="Verdana" w:hAnsi="Verdana"/>
          <w:i/>
        </w:rPr>
        <w:t>)</w:t>
      </w:r>
    </w:p>
    <w:p w14:paraId="763AA97D" w14:textId="77777777" w:rsidR="00EE3485" w:rsidRDefault="00EE3485" w:rsidP="00DB763C">
      <w:pPr>
        <w:rPr>
          <w:rFonts w:ascii="Verdana" w:hAnsi="Verdana"/>
          <w:i/>
        </w:rPr>
      </w:pPr>
    </w:p>
    <w:p w14:paraId="0F11FCDA" w14:textId="77777777" w:rsidR="00F32E00" w:rsidRPr="00F32E00" w:rsidRDefault="00EE3485" w:rsidP="00F32E00">
      <w:pPr>
        <w:rPr>
          <w:rFonts w:ascii="Verdana" w:hAnsi="Verdana"/>
          <w:i/>
          <w:iCs/>
          <w:u w:val="single"/>
        </w:rPr>
      </w:pPr>
      <w:r>
        <w:rPr>
          <w:rFonts w:ascii="Verdana" w:hAnsi="Verdana"/>
          <w:b/>
          <w:i/>
          <w:color w:val="000000"/>
        </w:rPr>
        <w:t>7</w:t>
      </w:r>
      <w:r w:rsidRPr="00DB763C">
        <w:rPr>
          <w:rFonts w:ascii="Verdana" w:hAnsi="Verdana"/>
          <w:b/>
          <w:i/>
          <w:color w:val="000000"/>
        </w:rPr>
        <w:t>_Grundriss_Geschosswohnungsbau</w:t>
      </w:r>
      <w:r>
        <w:rPr>
          <w:rFonts w:ascii="Verdana" w:hAnsi="Verdana"/>
          <w:b/>
          <w:i/>
          <w:color w:val="000000"/>
        </w:rPr>
        <w:t>_</w:t>
      </w:r>
      <w:r w:rsidR="00F32E00">
        <w:rPr>
          <w:rFonts w:ascii="Verdana" w:hAnsi="Verdana"/>
          <w:b/>
          <w:i/>
          <w:color w:val="000000"/>
        </w:rPr>
        <w:t>4</w:t>
      </w:r>
      <w:r w:rsidRPr="00DB763C">
        <w:rPr>
          <w:rFonts w:ascii="Verdana" w:hAnsi="Verdana"/>
          <w:b/>
          <w:i/>
          <w:color w:val="000000"/>
        </w:rPr>
        <w:t>-Module</w:t>
      </w:r>
      <w:r>
        <w:rPr>
          <w:rFonts w:ascii="Verdana" w:hAnsi="Verdana"/>
          <w:b/>
          <w:i/>
          <w:color w:val="000000"/>
        </w:rPr>
        <w:t xml:space="preserve">: </w:t>
      </w:r>
      <w:r w:rsidR="00F32E00" w:rsidRPr="00F32E00">
        <w:rPr>
          <w:rFonts w:ascii="Verdana" w:hAnsi="Verdana"/>
          <w:i/>
          <w:iCs/>
        </w:rPr>
        <w:t xml:space="preserve">Grundriss einer </w:t>
      </w:r>
      <w:proofErr w:type="spellStart"/>
      <w:r w:rsidR="00F32E00" w:rsidRPr="00F32E00">
        <w:rPr>
          <w:rFonts w:ascii="Verdana" w:hAnsi="Verdana"/>
          <w:i/>
          <w:iCs/>
        </w:rPr>
        <w:t>viermoduligen</w:t>
      </w:r>
      <w:proofErr w:type="spellEnd"/>
      <w:r w:rsidR="00F32E00" w:rsidRPr="00F32E00">
        <w:rPr>
          <w:rFonts w:ascii="Verdana" w:hAnsi="Verdana"/>
          <w:i/>
          <w:iCs/>
        </w:rPr>
        <w:t xml:space="preserve"> Wohnung mit ca. 87 m² Wohnfläche. (Bild: </w:t>
      </w:r>
      <w:proofErr w:type="spellStart"/>
      <w:r w:rsidR="00F32E00" w:rsidRPr="00F32E00">
        <w:rPr>
          <w:rFonts w:ascii="Verdana" w:hAnsi="Verdana"/>
          <w:i/>
          <w:iCs/>
        </w:rPr>
        <w:t>Dennert</w:t>
      </w:r>
      <w:proofErr w:type="spellEnd"/>
      <w:r w:rsidR="00F32E00" w:rsidRPr="00F32E00">
        <w:rPr>
          <w:rFonts w:ascii="Verdana" w:hAnsi="Verdana"/>
          <w:i/>
          <w:iCs/>
        </w:rPr>
        <w:t>)</w:t>
      </w:r>
    </w:p>
    <w:p w14:paraId="3012D109" w14:textId="77777777" w:rsidR="00DB763C" w:rsidRDefault="00DB763C" w:rsidP="00DB763C">
      <w:pPr>
        <w:jc w:val="both"/>
        <w:rPr>
          <w:rFonts w:ascii="Verdana" w:hAnsi="Verdana"/>
          <w:i/>
        </w:rPr>
      </w:pPr>
    </w:p>
    <w:p w14:paraId="7F47614D" w14:textId="5A5CE1BB" w:rsidR="00EE3485" w:rsidRDefault="00EE3485" w:rsidP="00DB763C">
      <w:pPr>
        <w:rPr>
          <w:rFonts w:ascii="Verdana" w:hAnsi="Verdana"/>
          <w:i/>
        </w:rPr>
      </w:pPr>
      <w:r w:rsidRPr="00EE3485">
        <w:rPr>
          <w:rFonts w:ascii="Verdana" w:hAnsi="Verdana"/>
          <w:b/>
          <w:i/>
          <w:color w:val="000000"/>
        </w:rPr>
        <w:t>8_Planvariante_Geschosswohnungsbau</w:t>
      </w:r>
      <w:r w:rsidR="00DB763C" w:rsidRPr="007C1498">
        <w:rPr>
          <w:rFonts w:ascii="Verdana" w:hAnsi="Verdana"/>
          <w:bCs/>
          <w:i/>
          <w:color w:val="000000"/>
        </w:rPr>
        <w:t xml:space="preserve">: </w:t>
      </w:r>
      <w:r w:rsidRPr="00EE3485">
        <w:rPr>
          <w:rFonts w:ascii="Verdana" w:hAnsi="Verdana"/>
          <w:i/>
          <w:iCs/>
        </w:rPr>
        <w:t xml:space="preserve">Die Wohneinheiten sind um zwei zentrale Module angeordnet, die das Treppenhaus, einen optionalen Fahrstuhlschacht, die Versorgungsschächte für die TGA sowie die Installationsräume beherbergen. </w:t>
      </w:r>
      <w:r>
        <w:rPr>
          <w:rFonts w:ascii="Verdana" w:hAnsi="Verdana"/>
          <w:i/>
          <w:iCs/>
        </w:rPr>
        <w:t xml:space="preserve">Hier die </w:t>
      </w:r>
      <w:r w:rsidRPr="00EE3485">
        <w:rPr>
          <w:rFonts w:ascii="Verdana" w:hAnsi="Verdana"/>
          <w:bCs/>
          <w:i/>
          <w:iCs/>
          <w:color w:val="000000"/>
        </w:rPr>
        <w:t>Planungsvariante mit zwei Wohnungen mit ca. 64 m² und zwei Wohnungen mit ca. 87 m² je Geschoss.</w:t>
      </w:r>
      <w:r w:rsidR="00DB763C" w:rsidRPr="00EE3485">
        <w:rPr>
          <w:rFonts w:ascii="Verdana" w:hAnsi="Verdana"/>
          <w:i/>
          <w:iCs/>
        </w:rPr>
        <w:t xml:space="preserve"> (Bild: </w:t>
      </w:r>
      <w:proofErr w:type="spellStart"/>
      <w:r w:rsidR="00DB763C" w:rsidRPr="00EE3485">
        <w:rPr>
          <w:rFonts w:ascii="Verdana" w:hAnsi="Verdana"/>
          <w:i/>
          <w:iCs/>
        </w:rPr>
        <w:t>Dennert</w:t>
      </w:r>
      <w:proofErr w:type="spellEnd"/>
      <w:r w:rsidR="00DB763C" w:rsidRPr="00EE3485">
        <w:rPr>
          <w:rFonts w:ascii="Verdana" w:hAnsi="Verdana"/>
          <w:i/>
          <w:iCs/>
        </w:rPr>
        <w:t>)</w:t>
      </w:r>
    </w:p>
    <w:sectPr w:rsidR="00EE3485" w:rsidSect="00071D20">
      <w:headerReference w:type="default" r:id="rId8"/>
      <w:footerReference w:type="default" r:id="rId9"/>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D126" w14:textId="77777777" w:rsidR="00D665FB" w:rsidRDefault="00D665FB">
      <w:r>
        <w:separator/>
      </w:r>
    </w:p>
  </w:endnote>
  <w:endnote w:type="continuationSeparator" w:id="0">
    <w:p w14:paraId="44096729" w14:textId="77777777" w:rsidR="00D665FB" w:rsidRDefault="00D6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3E9F" w14:textId="77777777" w:rsidR="00D665FB" w:rsidRDefault="00D665FB">
      <w:r>
        <w:separator/>
      </w:r>
    </w:p>
  </w:footnote>
  <w:footnote w:type="continuationSeparator" w:id="0">
    <w:p w14:paraId="6F17E8F0" w14:textId="77777777" w:rsidR="00D665FB" w:rsidRDefault="00D66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AF79A74" w14:textId="77777777" w:rsidR="002F3B3B" w:rsidRDefault="002F3B3B">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77077722">
    <w:abstractNumId w:val="1"/>
  </w:num>
  <w:num w:numId="2" w16cid:durableId="996493570">
    <w:abstractNumId w:val="0"/>
  </w:num>
  <w:num w:numId="3" w16cid:durableId="1229463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7"/>
    <w:rsid w:val="00004079"/>
    <w:rsid w:val="000041CB"/>
    <w:rsid w:val="0000562A"/>
    <w:rsid w:val="000070B2"/>
    <w:rsid w:val="000102B9"/>
    <w:rsid w:val="0001468E"/>
    <w:rsid w:val="00015326"/>
    <w:rsid w:val="00023781"/>
    <w:rsid w:val="0003160E"/>
    <w:rsid w:val="000317E3"/>
    <w:rsid w:val="00033E28"/>
    <w:rsid w:val="000347D6"/>
    <w:rsid w:val="00041254"/>
    <w:rsid w:val="000416BC"/>
    <w:rsid w:val="00045B14"/>
    <w:rsid w:val="00045E68"/>
    <w:rsid w:val="000479B1"/>
    <w:rsid w:val="00047BB0"/>
    <w:rsid w:val="0005021D"/>
    <w:rsid w:val="00050725"/>
    <w:rsid w:val="00053AEE"/>
    <w:rsid w:val="0005695E"/>
    <w:rsid w:val="000570A3"/>
    <w:rsid w:val="00057A2E"/>
    <w:rsid w:val="00062B8E"/>
    <w:rsid w:val="000633E3"/>
    <w:rsid w:val="00065CEB"/>
    <w:rsid w:val="00067CD4"/>
    <w:rsid w:val="00070727"/>
    <w:rsid w:val="00071D20"/>
    <w:rsid w:val="000753CB"/>
    <w:rsid w:val="00082363"/>
    <w:rsid w:val="00082731"/>
    <w:rsid w:val="000828BC"/>
    <w:rsid w:val="00086FE5"/>
    <w:rsid w:val="0009024F"/>
    <w:rsid w:val="00092441"/>
    <w:rsid w:val="00092A53"/>
    <w:rsid w:val="000A4201"/>
    <w:rsid w:val="000A52FE"/>
    <w:rsid w:val="000A781D"/>
    <w:rsid w:val="000B10F2"/>
    <w:rsid w:val="000B288B"/>
    <w:rsid w:val="000B5D20"/>
    <w:rsid w:val="000D6BD5"/>
    <w:rsid w:val="000E02C1"/>
    <w:rsid w:val="000E4F89"/>
    <w:rsid w:val="000E58F9"/>
    <w:rsid w:val="000F0FB1"/>
    <w:rsid w:val="00107C39"/>
    <w:rsid w:val="0011065C"/>
    <w:rsid w:val="0011186A"/>
    <w:rsid w:val="00120F9D"/>
    <w:rsid w:val="001232FC"/>
    <w:rsid w:val="00131FD0"/>
    <w:rsid w:val="0013313C"/>
    <w:rsid w:val="00133406"/>
    <w:rsid w:val="00134F5A"/>
    <w:rsid w:val="00136037"/>
    <w:rsid w:val="00137E1E"/>
    <w:rsid w:val="00141977"/>
    <w:rsid w:val="00141D95"/>
    <w:rsid w:val="001511AC"/>
    <w:rsid w:val="00152CD8"/>
    <w:rsid w:val="001533C3"/>
    <w:rsid w:val="00157197"/>
    <w:rsid w:val="00166523"/>
    <w:rsid w:val="00166AEE"/>
    <w:rsid w:val="00173749"/>
    <w:rsid w:val="00175A72"/>
    <w:rsid w:val="00180F35"/>
    <w:rsid w:val="00184C5E"/>
    <w:rsid w:val="00187BAB"/>
    <w:rsid w:val="00187F44"/>
    <w:rsid w:val="00190F47"/>
    <w:rsid w:val="0019664B"/>
    <w:rsid w:val="00196DE2"/>
    <w:rsid w:val="001A7604"/>
    <w:rsid w:val="001B60C5"/>
    <w:rsid w:val="001C553C"/>
    <w:rsid w:val="001D3577"/>
    <w:rsid w:val="001D6083"/>
    <w:rsid w:val="001E38C3"/>
    <w:rsid w:val="00203895"/>
    <w:rsid w:val="00204156"/>
    <w:rsid w:val="00204D31"/>
    <w:rsid w:val="002056CF"/>
    <w:rsid w:val="0020779F"/>
    <w:rsid w:val="002130F4"/>
    <w:rsid w:val="00221B50"/>
    <w:rsid w:val="002227C4"/>
    <w:rsid w:val="002227EB"/>
    <w:rsid w:val="00230DD0"/>
    <w:rsid w:val="00234F29"/>
    <w:rsid w:val="002419E7"/>
    <w:rsid w:val="002437EA"/>
    <w:rsid w:val="002454B4"/>
    <w:rsid w:val="00245F4F"/>
    <w:rsid w:val="0025114F"/>
    <w:rsid w:val="00261FB8"/>
    <w:rsid w:val="00264553"/>
    <w:rsid w:val="00264A95"/>
    <w:rsid w:val="002664A9"/>
    <w:rsid w:val="00271211"/>
    <w:rsid w:val="002754D1"/>
    <w:rsid w:val="00276C38"/>
    <w:rsid w:val="002812C0"/>
    <w:rsid w:val="00282393"/>
    <w:rsid w:val="00283C47"/>
    <w:rsid w:val="00285FF2"/>
    <w:rsid w:val="00286B40"/>
    <w:rsid w:val="0028735F"/>
    <w:rsid w:val="00291435"/>
    <w:rsid w:val="00292EB5"/>
    <w:rsid w:val="00293DFE"/>
    <w:rsid w:val="002951BC"/>
    <w:rsid w:val="002A1879"/>
    <w:rsid w:val="002A1FE2"/>
    <w:rsid w:val="002A1FF1"/>
    <w:rsid w:val="002A3572"/>
    <w:rsid w:val="002A3BC9"/>
    <w:rsid w:val="002A5BAE"/>
    <w:rsid w:val="002A6727"/>
    <w:rsid w:val="002B020C"/>
    <w:rsid w:val="002B1A3A"/>
    <w:rsid w:val="002B5C70"/>
    <w:rsid w:val="002C150D"/>
    <w:rsid w:val="002C27B4"/>
    <w:rsid w:val="002C2B48"/>
    <w:rsid w:val="002D17A0"/>
    <w:rsid w:val="002D3C46"/>
    <w:rsid w:val="002E0863"/>
    <w:rsid w:val="002E2AC5"/>
    <w:rsid w:val="002E33B7"/>
    <w:rsid w:val="002E368A"/>
    <w:rsid w:val="002E5F77"/>
    <w:rsid w:val="002E6170"/>
    <w:rsid w:val="002F3B3B"/>
    <w:rsid w:val="002F6794"/>
    <w:rsid w:val="002F7689"/>
    <w:rsid w:val="00303846"/>
    <w:rsid w:val="0031545B"/>
    <w:rsid w:val="003175B8"/>
    <w:rsid w:val="003253D4"/>
    <w:rsid w:val="00326C07"/>
    <w:rsid w:val="003270F4"/>
    <w:rsid w:val="003408F0"/>
    <w:rsid w:val="003445BA"/>
    <w:rsid w:val="00347356"/>
    <w:rsid w:val="00350820"/>
    <w:rsid w:val="003519BE"/>
    <w:rsid w:val="00353E3C"/>
    <w:rsid w:val="0035685C"/>
    <w:rsid w:val="0036152C"/>
    <w:rsid w:val="003761D3"/>
    <w:rsid w:val="003843FE"/>
    <w:rsid w:val="003874B7"/>
    <w:rsid w:val="00390F36"/>
    <w:rsid w:val="00392996"/>
    <w:rsid w:val="0039495A"/>
    <w:rsid w:val="003A019F"/>
    <w:rsid w:val="003A6665"/>
    <w:rsid w:val="003B0ED6"/>
    <w:rsid w:val="003B3211"/>
    <w:rsid w:val="003B5979"/>
    <w:rsid w:val="003C7E7C"/>
    <w:rsid w:val="003D269B"/>
    <w:rsid w:val="003E3FDF"/>
    <w:rsid w:val="003E6101"/>
    <w:rsid w:val="003E676A"/>
    <w:rsid w:val="003F5C8F"/>
    <w:rsid w:val="00403DE3"/>
    <w:rsid w:val="0041628C"/>
    <w:rsid w:val="004211C8"/>
    <w:rsid w:val="0042473A"/>
    <w:rsid w:val="004321C4"/>
    <w:rsid w:val="00432BB9"/>
    <w:rsid w:val="004337B5"/>
    <w:rsid w:val="00434B88"/>
    <w:rsid w:val="00440528"/>
    <w:rsid w:val="004448CE"/>
    <w:rsid w:val="004449A3"/>
    <w:rsid w:val="0044553D"/>
    <w:rsid w:val="0044590B"/>
    <w:rsid w:val="00445C78"/>
    <w:rsid w:val="00446A18"/>
    <w:rsid w:val="00452B24"/>
    <w:rsid w:val="00460684"/>
    <w:rsid w:val="00463ADF"/>
    <w:rsid w:val="00463C94"/>
    <w:rsid w:val="004661F3"/>
    <w:rsid w:val="00466B3D"/>
    <w:rsid w:val="00472864"/>
    <w:rsid w:val="004836D4"/>
    <w:rsid w:val="004846B5"/>
    <w:rsid w:val="0048528F"/>
    <w:rsid w:val="00485E43"/>
    <w:rsid w:val="00487A70"/>
    <w:rsid w:val="00487B9A"/>
    <w:rsid w:val="00490E5A"/>
    <w:rsid w:val="00492B82"/>
    <w:rsid w:val="00494D2F"/>
    <w:rsid w:val="00495262"/>
    <w:rsid w:val="00496AE2"/>
    <w:rsid w:val="004A2807"/>
    <w:rsid w:val="004A29D1"/>
    <w:rsid w:val="004C3BD7"/>
    <w:rsid w:val="004C41E6"/>
    <w:rsid w:val="004C5967"/>
    <w:rsid w:val="004D1AC5"/>
    <w:rsid w:val="004D431B"/>
    <w:rsid w:val="004D4B40"/>
    <w:rsid w:val="004D6509"/>
    <w:rsid w:val="004D66F4"/>
    <w:rsid w:val="004E532D"/>
    <w:rsid w:val="004F2BD5"/>
    <w:rsid w:val="005013BB"/>
    <w:rsid w:val="005127B3"/>
    <w:rsid w:val="00516B55"/>
    <w:rsid w:val="00516F9E"/>
    <w:rsid w:val="0052123F"/>
    <w:rsid w:val="005222B8"/>
    <w:rsid w:val="00533277"/>
    <w:rsid w:val="00541B9E"/>
    <w:rsid w:val="0054383B"/>
    <w:rsid w:val="00544A1C"/>
    <w:rsid w:val="00545B97"/>
    <w:rsid w:val="005519D2"/>
    <w:rsid w:val="00554007"/>
    <w:rsid w:val="00555E97"/>
    <w:rsid w:val="00557817"/>
    <w:rsid w:val="00564EF3"/>
    <w:rsid w:val="00573AE8"/>
    <w:rsid w:val="005747BC"/>
    <w:rsid w:val="005768B8"/>
    <w:rsid w:val="005872C9"/>
    <w:rsid w:val="0059036E"/>
    <w:rsid w:val="00592E47"/>
    <w:rsid w:val="00595531"/>
    <w:rsid w:val="005A366A"/>
    <w:rsid w:val="005A57AE"/>
    <w:rsid w:val="005B1358"/>
    <w:rsid w:val="005B25F3"/>
    <w:rsid w:val="005C3EBF"/>
    <w:rsid w:val="005C48AF"/>
    <w:rsid w:val="005D2F5A"/>
    <w:rsid w:val="005E022A"/>
    <w:rsid w:val="005E36ED"/>
    <w:rsid w:val="005E443F"/>
    <w:rsid w:val="005E48BB"/>
    <w:rsid w:val="005E5021"/>
    <w:rsid w:val="005F6F3F"/>
    <w:rsid w:val="005F6F5B"/>
    <w:rsid w:val="00602613"/>
    <w:rsid w:val="00610C60"/>
    <w:rsid w:val="00612F19"/>
    <w:rsid w:val="006145AB"/>
    <w:rsid w:val="00617DE3"/>
    <w:rsid w:val="0062366A"/>
    <w:rsid w:val="006304CE"/>
    <w:rsid w:val="006354E3"/>
    <w:rsid w:val="006427FA"/>
    <w:rsid w:val="0065009B"/>
    <w:rsid w:val="00655E48"/>
    <w:rsid w:val="0066311F"/>
    <w:rsid w:val="00663A2E"/>
    <w:rsid w:val="0066522E"/>
    <w:rsid w:val="006662F4"/>
    <w:rsid w:val="0067042C"/>
    <w:rsid w:val="00672DBA"/>
    <w:rsid w:val="00677C6A"/>
    <w:rsid w:val="006823C1"/>
    <w:rsid w:val="00682B3F"/>
    <w:rsid w:val="00685513"/>
    <w:rsid w:val="006877EB"/>
    <w:rsid w:val="006919C5"/>
    <w:rsid w:val="00692903"/>
    <w:rsid w:val="00693AA8"/>
    <w:rsid w:val="00694632"/>
    <w:rsid w:val="00697EF6"/>
    <w:rsid w:val="006A1B61"/>
    <w:rsid w:val="006A1EAB"/>
    <w:rsid w:val="006B0EF8"/>
    <w:rsid w:val="006B1302"/>
    <w:rsid w:val="006B40C6"/>
    <w:rsid w:val="006C2996"/>
    <w:rsid w:val="006C2D38"/>
    <w:rsid w:val="006C37FC"/>
    <w:rsid w:val="006C7722"/>
    <w:rsid w:val="006D1DCD"/>
    <w:rsid w:val="006D1FF4"/>
    <w:rsid w:val="006D40CF"/>
    <w:rsid w:val="006D4E07"/>
    <w:rsid w:val="006D5AE4"/>
    <w:rsid w:val="006E52D1"/>
    <w:rsid w:val="006E6E7D"/>
    <w:rsid w:val="007011CC"/>
    <w:rsid w:val="00702F09"/>
    <w:rsid w:val="007049E2"/>
    <w:rsid w:val="00705861"/>
    <w:rsid w:val="00705E36"/>
    <w:rsid w:val="0070744B"/>
    <w:rsid w:val="007074DB"/>
    <w:rsid w:val="007141B0"/>
    <w:rsid w:val="0071477A"/>
    <w:rsid w:val="00715E28"/>
    <w:rsid w:val="00716D92"/>
    <w:rsid w:val="00722638"/>
    <w:rsid w:val="00724303"/>
    <w:rsid w:val="00741376"/>
    <w:rsid w:val="00742013"/>
    <w:rsid w:val="007461BB"/>
    <w:rsid w:val="007478FB"/>
    <w:rsid w:val="00755125"/>
    <w:rsid w:val="00756CFF"/>
    <w:rsid w:val="007645B2"/>
    <w:rsid w:val="00765D02"/>
    <w:rsid w:val="00766CCE"/>
    <w:rsid w:val="00771129"/>
    <w:rsid w:val="00774B81"/>
    <w:rsid w:val="00782183"/>
    <w:rsid w:val="00783556"/>
    <w:rsid w:val="007941CD"/>
    <w:rsid w:val="00795F66"/>
    <w:rsid w:val="007A249A"/>
    <w:rsid w:val="007A5FE8"/>
    <w:rsid w:val="007A7D08"/>
    <w:rsid w:val="007B1D1F"/>
    <w:rsid w:val="007B3234"/>
    <w:rsid w:val="007B496B"/>
    <w:rsid w:val="007B610C"/>
    <w:rsid w:val="007C198E"/>
    <w:rsid w:val="007C4CD6"/>
    <w:rsid w:val="007C5A5A"/>
    <w:rsid w:val="007D57DF"/>
    <w:rsid w:val="007D58AE"/>
    <w:rsid w:val="007E0B8C"/>
    <w:rsid w:val="007E2102"/>
    <w:rsid w:val="007E57BB"/>
    <w:rsid w:val="007E60E1"/>
    <w:rsid w:val="007F10B8"/>
    <w:rsid w:val="007F1D6E"/>
    <w:rsid w:val="007F200C"/>
    <w:rsid w:val="007F74C2"/>
    <w:rsid w:val="007F772A"/>
    <w:rsid w:val="00800DC3"/>
    <w:rsid w:val="00803738"/>
    <w:rsid w:val="008050ED"/>
    <w:rsid w:val="00805361"/>
    <w:rsid w:val="00810D42"/>
    <w:rsid w:val="008143FB"/>
    <w:rsid w:val="008148F5"/>
    <w:rsid w:val="0081574E"/>
    <w:rsid w:val="008225BD"/>
    <w:rsid w:val="008262DF"/>
    <w:rsid w:val="00833CC9"/>
    <w:rsid w:val="0083474A"/>
    <w:rsid w:val="00834831"/>
    <w:rsid w:val="00836884"/>
    <w:rsid w:val="00850F92"/>
    <w:rsid w:val="0085227E"/>
    <w:rsid w:val="00855F01"/>
    <w:rsid w:val="00865503"/>
    <w:rsid w:val="00874083"/>
    <w:rsid w:val="0087522A"/>
    <w:rsid w:val="0087609C"/>
    <w:rsid w:val="0088288B"/>
    <w:rsid w:val="00885879"/>
    <w:rsid w:val="00886929"/>
    <w:rsid w:val="00893390"/>
    <w:rsid w:val="008A50E6"/>
    <w:rsid w:val="008C6992"/>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348C4"/>
    <w:rsid w:val="009350D6"/>
    <w:rsid w:val="00960881"/>
    <w:rsid w:val="00962A43"/>
    <w:rsid w:val="009756D0"/>
    <w:rsid w:val="00976A90"/>
    <w:rsid w:val="00983535"/>
    <w:rsid w:val="0098547D"/>
    <w:rsid w:val="0098641B"/>
    <w:rsid w:val="00992801"/>
    <w:rsid w:val="0099579D"/>
    <w:rsid w:val="009A2BA9"/>
    <w:rsid w:val="009B4572"/>
    <w:rsid w:val="009C31E6"/>
    <w:rsid w:val="009C7F12"/>
    <w:rsid w:val="009D2A0F"/>
    <w:rsid w:val="009E1136"/>
    <w:rsid w:val="009E1363"/>
    <w:rsid w:val="009E18A9"/>
    <w:rsid w:val="009F2DCA"/>
    <w:rsid w:val="009F6CE2"/>
    <w:rsid w:val="009F7B66"/>
    <w:rsid w:val="00A06CA9"/>
    <w:rsid w:val="00A11891"/>
    <w:rsid w:val="00A1724A"/>
    <w:rsid w:val="00A24C03"/>
    <w:rsid w:val="00A32239"/>
    <w:rsid w:val="00A41FD7"/>
    <w:rsid w:val="00A50803"/>
    <w:rsid w:val="00A537DC"/>
    <w:rsid w:val="00A648F9"/>
    <w:rsid w:val="00A71A27"/>
    <w:rsid w:val="00A724E7"/>
    <w:rsid w:val="00A751BB"/>
    <w:rsid w:val="00A753B5"/>
    <w:rsid w:val="00A77764"/>
    <w:rsid w:val="00A82087"/>
    <w:rsid w:val="00A857B1"/>
    <w:rsid w:val="00A86871"/>
    <w:rsid w:val="00A9300B"/>
    <w:rsid w:val="00A96BC3"/>
    <w:rsid w:val="00AA0248"/>
    <w:rsid w:val="00AA11E2"/>
    <w:rsid w:val="00AA50ED"/>
    <w:rsid w:val="00AA74F3"/>
    <w:rsid w:val="00AB0377"/>
    <w:rsid w:val="00AB6C82"/>
    <w:rsid w:val="00AB6EA0"/>
    <w:rsid w:val="00AC4696"/>
    <w:rsid w:val="00AC5C01"/>
    <w:rsid w:val="00AD0ECF"/>
    <w:rsid w:val="00AD1F28"/>
    <w:rsid w:val="00AD74E4"/>
    <w:rsid w:val="00AE0385"/>
    <w:rsid w:val="00AE34C4"/>
    <w:rsid w:val="00AE4F1A"/>
    <w:rsid w:val="00AE6937"/>
    <w:rsid w:val="00AF2B7D"/>
    <w:rsid w:val="00AF44C8"/>
    <w:rsid w:val="00AF5DBA"/>
    <w:rsid w:val="00B008B6"/>
    <w:rsid w:val="00B03B96"/>
    <w:rsid w:val="00B10C2E"/>
    <w:rsid w:val="00B14F87"/>
    <w:rsid w:val="00B1773C"/>
    <w:rsid w:val="00B2363B"/>
    <w:rsid w:val="00B245AF"/>
    <w:rsid w:val="00B24A9C"/>
    <w:rsid w:val="00B31D27"/>
    <w:rsid w:val="00B324B8"/>
    <w:rsid w:val="00B44B22"/>
    <w:rsid w:val="00B5630C"/>
    <w:rsid w:val="00B57854"/>
    <w:rsid w:val="00B61A31"/>
    <w:rsid w:val="00B64373"/>
    <w:rsid w:val="00B71D30"/>
    <w:rsid w:val="00B768ED"/>
    <w:rsid w:val="00B808C7"/>
    <w:rsid w:val="00B82873"/>
    <w:rsid w:val="00B84077"/>
    <w:rsid w:val="00B84C9D"/>
    <w:rsid w:val="00B84F5D"/>
    <w:rsid w:val="00B8572A"/>
    <w:rsid w:val="00B86E65"/>
    <w:rsid w:val="00B91752"/>
    <w:rsid w:val="00B94711"/>
    <w:rsid w:val="00BA17CB"/>
    <w:rsid w:val="00BA1B05"/>
    <w:rsid w:val="00BA2DB7"/>
    <w:rsid w:val="00BA7BA5"/>
    <w:rsid w:val="00BB0466"/>
    <w:rsid w:val="00BB6D32"/>
    <w:rsid w:val="00BB7CAB"/>
    <w:rsid w:val="00BC4B04"/>
    <w:rsid w:val="00BC671A"/>
    <w:rsid w:val="00BC76EC"/>
    <w:rsid w:val="00BD3583"/>
    <w:rsid w:val="00BE1510"/>
    <w:rsid w:val="00BE225E"/>
    <w:rsid w:val="00BE22EE"/>
    <w:rsid w:val="00BE265F"/>
    <w:rsid w:val="00BE579A"/>
    <w:rsid w:val="00BF3481"/>
    <w:rsid w:val="00BF45EC"/>
    <w:rsid w:val="00BF46C8"/>
    <w:rsid w:val="00BF7303"/>
    <w:rsid w:val="00C01829"/>
    <w:rsid w:val="00C045EC"/>
    <w:rsid w:val="00C0507B"/>
    <w:rsid w:val="00C07975"/>
    <w:rsid w:val="00C11138"/>
    <w:rsid w:val="00C127CB"/>
    <w:rsid w:val="00C167AC"/>
    <w:rsid w:val="00C17C11"/>
    <w:rsid w:val="00C23382"/>
    <w:rsid w:val="00C24421"/>
    <w:rsid w:val="00C25D96"/>
    <w:rsid w:val="00C26EE9"/>
    <w:rsid w:val="00C35BA2"/>
    <w:rsid w:val="00C3606A"/>
    <w:rsid w:val="00C3695C"/>
    <w:rsid w:val="00C417AC"/>
    <w:rsid w:val="00C450E4"/>
    <w:rsid w:val="00C45E99"/>
    <w:rsid w:val="00C46A39"/>
    <w:rsid w:val="00C558EC"/>
    <w:rsid w:val="00C650BD"/>
    <w:rsid w:val="00C65222"/>
    <w:rsid w:val="00C6687D"/>
    <w:rsid w:val="00C6742A"/>
    <w:rsid w:val="00C702C1"/>
    <w:rsid w:val="00C74663"/>
    <w:rsid w:val="00C75CAE"/>
    <w:rsid w:val="00C81B73"/>
    <w:rsid w:val="00C81F3A"/>
    <w:rsid w:val="00C82EEF"/>
    <w:rsid w:val="00C84F39"/>
    <w:rsid w:val="00C91813"/>
    <w:rsid w:val="00C94394"/>
    <w:rsid w:val="00C950AD"/>
    <w:rsid w:val="00CA5693"/>
    <w:rsid w:val="00CA6B14"/>
    <w:rsid w:val="00CA7CBC"/>
    <w:rsid w:val="00CB54B3"/>
    <w:rsid w:val="00CC0425"/>
    <w:rsid w:val="00CC15C8"/>
    <w:rsid w:val="00CC66CF"/>
    <w:rsid w:val="00CD1022"/>
    <w:rsid w:val="00CD1F1D"/>
    <w:rsid w:val="00CD561E"/>
    <w:rsid w:val="00CE0812"/>
    <w:rsid w:val="00CE34EF"/>
    <w:rsid w:val="00CE5493"/>
    <w:rsid w:val="00CE5972"/>
    <w:rsid w:val="00CF5F3B"/>
    <w:rsid w:val="00CF787A"/>
    <w:rsid w:val="00D05413"/>
    <w:rsid w:val="00D0698E"/>
    <w:rsid w:val="00D07268"/>
    <w:rsid w:val="00D201A5"/>
    <w:rsid w:val="00D217AE"/>
    <w:rsid w:val="00D22288"/>
    <w:rsid w:val="00D23E3A"/>
    <w:rsid w:val="00D25544"/>
    <w:rsid w:val="00D27CD2"/>
    <w:rsid w:val="00D34AE7"/>
    <w:rsid w:val="00D34EB1"/>
    <w:rsid w:val="00D41860"/>
    <w:rsid w:val="00D469A8"/>
    <w:rsid w:val="00D52B6C"/>
    <w:rsid w:val="00D536A7"/>
    <w:rsid w:val="00D536BB"/>
    <w:rsid w:val="00D60FC9"/>
    <w:rsid w:val="00D61D99"/>
    <w:rsid w:val="00D624AB"/>
    <w:rsid w:val="00D665FB"/>
    <w:rsid w:val="00D6700C"/>
    <w:rsid w:val="00D70139"/>
    <w:rsid w:val="00D7131B"/>
    <w:rsid w:val="00D7580C"/>
    <w:rsid w:val="00D76E16"/>
    <w:rsid w:val="00D842B5"/>
    <w:rsid w:val="00D86D2F"/>
    <w:rsid w:val="00D87AC5"/>
    <w:rsid w:val="00D954B3"/>
    <w:rsid w:val="00DA0538"/>
    <w:rsid w:val="00DA32E5"/>
    <w:rsid w:val="00DA3504"/>
    <w:rsid w:val="00DA3A30"/>
    <w:rsid w:val="00DB0188"/>
    <w:rsid w:val="00DB0AFA"/>
    <w:rsid w:val="00DB18C1"/>
    <w:rsid w:val="00DB328D"/>
    <w:rsid w:val="00DB3491"/>
    <w:rsid w:val="00DB499D"/>
    <w:rsid w:val="00DB763C"/>
    <w:rsid w:val="00DB7A7E"/>
    <w:rsid w:val="00DC2954"/>
    <w:rsid w:val="00DC4FF1"/>
    <w:rsid w:val="00DD371F"/>
    <w:rsid w:val="00DD430A"/>
    <w:rsid w:val="00DE2452"/>
    <w:rsid w:val="00DF2C74"/>
    <w:rsid w:val="00E018F2"/>
    <w:rsid w:val="00E023BE"/>
    <w:rsid w:val="00E05315"/>
    <w:rsid w:val="00E2217E"/>
    <w:rsid w:val="00E32CCE"/>
    <w:rsid w:val="00E36471"/>
    <w:rsid w:val="00E4502C"/>
    <w:rsid w:val="00E461BD"/>
    <w:rsid w:val="00E54B85"/>
    <w:rsid w:val="00E57498"/>
    <w:rsid w:val="00E62AA1"/>
    <w:rsid w:val="00E62AD7"/>
    <w:rsid w:val="00E63D24"/>
    <w:rsid w:val="00E706A9"/>
    <w:rsid w:val="00E77DD8"/>
    <w:rsid w:val="00E8207F"/>
    <w:rsid w:val="00E83969"/>
    <w:rsid w:val="00E8648A"/>
    <w:rsid w:val="00E955CC"/>
    <w:rsid w:val="00EB3FF9"/>
    <w:rsid w:val="00EB44BA"/>
    <w:rsid w:val="00EB79DF"/>
    <w:rsid w:val="00EB7BB6"/>
    <w:rsid w:val="00EB7C89"/>
    <w:rsid w:val="00EC31C9"/>
    <w:rsid w:val="00EC6EEE"/>
    <w:rsid w:val="00ED28F9"/>
    <w:rsid w:val="00ED6A81"/>
    <w:rsid w:val="00ED6B85"/>
    <w:rsid w:val="00EE3485"/>
    <w:rsid w:val="00EE53AF"/>
    <w:rsid w:val="00EF0905"/>
    <w:rsid w:val="00EF1FFB"/>
    <w:rsid w:val="00EF524B"/>
    <w:rsid w:val="00F05ACA"/>
    <w:rsid w:val="00F072D0"/>
    <w:rsid w:val="00F100D3"/>
    <w:rsid w:val="00F15E06"/>
    <w:rsid w:val="00F21EF3"/>
    <w:rsid w:val="00F248C9"/>
    <w:rsid w:val="00F24EBA"/>
    <w:rsid w:val="00F266F3"/>
    <w:rsid w:val="00F301D9"/>
    <w:rsid w:val="00F306BF"/>
    <w:rsid w:val="00F32E00"/>
    <w:rsid w:val="00F41403"/>
    <w:rsid w:val="00F44300"/>
    <w:rsid w:val="00F4781C"/>
    <w:rsid w:val="00F51473"/>
    <w:rsid w:val="00F61E8E"/>
    <w:rsid w:val="00F6529F"/>
    <w:rsid w:val="00F7399E"/>
    <w:rsid w:val="00F84BF9"/>
    <w:rsid w:val="00F85D6E"/>
    <w:rsid w:val="00F87944"/>
    <w:rsid w:val="00F87BB1"/>
    <w:rsid w:val="00F90957"/>
    <w:rsid w:val="00F93AAF"/>
    <w:rsid w:val="00FA23F2"/>
    <w:rsid w:val="00FA2486"/>
    <w:rsid w:val="00FA3A57"/>
    <w:rsid w:val="00FA625C"/>
    <w:rsid w:val="00FA6D62"/>
    <w:rsid w:val="00FA71C9"/>
    <w:rsid w:val="00FB242F"/>
    <w:rsid w:val="00FB3E0E"/>
    <w:rsid w:val="00FB5896"/>
    <w:rsid w:val="00FB7A4C"/>
    <w:rsid w:val="00FC0508"/>
    <w:rsid w:val="00FC0994"/>
    <w:rsid w:val="00FC4CD6"/>
    <w:rsid w:val="00FC58E5"/>
    <w:rsid w:val="00FC6152"/>
    <w:rsid w:val="00FD6BF8"/>
    <w:rsid w:val="00FE1902"/>
    <w:rsid w:val="00FF1474"/>
    <w:rsid w:val="00FF6F7F"/>
    <w:rsid w:val="48C73ADF"/>
    <w:rsid w:val="64D016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dej7p">
    <w:name w:val="dej7p"/>
    <w:basedOn w:val="Absatz-Standardschriftart"/>
    <w:rsid w:val="00A86871"/>
  </w:style>
  <w:style w:type="character" w:customStyle="1" w:styleId="NichtaufgelsteErwhnung1">
    <w:name w:val="Nicht aufgelöste Erwähnung1"/>
    <w:basedOn w:val="Absatz-Standardschriftart"/>
    <w:uiPriority w:val="99"/>
    <w:semiHidden/>
    <w:unhideWhenUsed/>
    <w:rsid w:val="00A11891"/>
    <w:rPr>
      <w:color w:val="605E5C"/>
      <w:shd w:val="clear" w:color="auto" w:fill="E1DFDD"/>
    </w:rPr>
  </w:style>
  <w:style w:type="character" w:customStyle="1" w:styleId="hgkelc">
    <w:name w:val="hgkelc"/>
    <w:basedOn w:val="Absatz-Standardschriftart"/>
    <w:rsid w:val="00187F44"/>
  </w:style>
  <w:style w:type="character" w:styleId="NichtaufgelsteErwhnung">
    <w:name w:val="Unresolved Mention"/>
    <w:basedOn w:val="Absatz-Standardschriftart"/>
    <w:uiPriority w:val="99"/>
    <w:semiHidden/>
    <w:unhideWhenUsed/>
    <w:rsid w:val="002454B4"/>
    <w:rPr>
      <w:color w:val="605E5C"/>
      <w:shd w:val="clear" w:color="auto" w:fill="E1DFDD"/>
    </w:rPr>
  </w:style>
  <w:style w:type="character" w:styleId="Kommentarzeichen">
    <w:name w:val="annotation reference"/>
    <w:basedOn w:val="Absatz-Standardschriftart"/>
    <w:semiHidden/>
    <w:unhideWhenUsed/>
    <w:rsid w:val="00292EB5"/>
    <w:rPr>
      <w:sz w:val="16"/>
      <w:szCs w:val="16"/>
    </w:rPr>
  </w:style>
  <w:style w:type="paragraph" w:styleId="Kommentartext">
    <w:name w:val="annotation text"/>
    <w:basedOn w:val="Standard"/>
    <w:link w:val="KommentartextZchn"/>
    <w:unhideWhenUsed/>
    <w:rsid w:val="00292EB5"/>
  </w:style>
  <w:style w:type="character" w:customStyle="1" w:styleId="KommentartextZchn">
    <w:name w:val="Kommentartext Zchn"/>
    <w:basedOn w:val="Absatz-Standardschriftart"/>
    <w:link w:val="Kommentartext"/>
    <w:rsid w:val="00292EB5"/>
  </w:style>
  <w:style w:type="paragraph" w:styleId="Kommentarthema">
    <w:name w:val="annotation subject"/>
    <w:basedOn w:val="Kommentartext"/>
    <w:next w:val="Kommentartext"/>
    <w:link w:val="KommentarthemaZchn"/>
    <w:semiHidden/>
    <w:unhideWhenUsed/>
    <w:rsid w:val="00292EB5"/>
    <w:rPr>
      <w:b/>
      <w:bCs/>
    </w:rPr>
  </w:style>
  <w:style w:type="character" w:customStyle="1" w:styleId="KommentarthemaZchn">
    <w:name w:val="Kommentarthema Zchn"/>
    <w:basedOn w:val="KommentartextZchn"/>
    <w:link w:val="Kommentarthema"/>
    <w:semiHidden/>
    <w:rsid w:val="00292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71438091">
      <w:bodyDiv w:val="1"/>
      <w:marLeft w:val="0"/>
      <w:marRight w:val="0"/>
      <w:marTop w:val="0"/>
      <w:marBottom w:val="0"/>
      <w:divBdr>
        <w:top w:val="none" w:sz="0" w:space="0" w:color="auto"/>
        <w:left w:val="none" w:sz="0" w:space="0" w:color="auto"/>
        <w:bottom w:val="none" w:sz="0" w:space="0" w:color="auto"/>
        <w:right w:val="none" w:sz="0" w:space="0" w:color="auto"/>
      </w:divBdr>
    </w:div>
    <w:div w:id="141629528">
      <w:bodyDiv w:val="1"/>
      <w:marLeft w:val="0"/>
      <w:marRight w:val="0"/>
      <w:marTop w:val="0"/>
      <w:marBottom w:val="0"/>
      <w:divBdr>
        <w:top w:val="none" w:sz="0" w:space="0" w:color="auto"/>
        <w:left w:val="none" w:sz="0" w:space="0" w:color="auto"/>
        <w:bottom w:val="none" w:sz="0" w:space="0" w:color="auto"/>
        <w:right w:val="none" w:sz="0" w:space="0" w:color="auto"/>
      </w:divBdr>
    </w:div>
    <w:div w:id="186531979">
      <w:bodyDiv w:val="1"/>
      <w:marLeft w:val="0"/>
      <w:marRight w:val="0"/>
      <w:marTop w:val="0"/>
      <w:marBottom w:val="0"/>
      <w:divBdr>
        <w:top w:val="none" w:sz="0" w:space="0" w:color="auto"/>
        <w:left w:val="none" w:sz="0" w:space="0" w:color="auto"/>
        <w:bottom w:val="none" w:sz="0" w:space="0" w:color="auto"/>
        <w:right w:val="none" w:sz="0" w:space="0" w:color="auto"/>
      </w:divBdr>
    </w:div>
    <w:div w:id="208417440">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42723">
      <w:bodyDiv w:val="1"/>
      <w:marLeft w:val="0"/>
      <w:marRight w:val="0"/>
      <w:marTop w:val="0"/>
      <w:marBottom w:val="0"/>
      <w:divBdr>
        <w:top w:val="none" w:sz="0" w:space="0" w:color="auto"/>
        <w:left w:val="none" w:sz="0" w:space="0" w:color="auto"/>
        <w:bottom w:val="none" w:sz="0" w:space="0" w:color="auto"/>
        <w:right w:val="none" w:sz="0" w:space="0" w:color="auto"/>
      </w:divBdr>
      <w:divsChild>
        <w:div w:id="1933125402">
          <w:marLeft w:val="0"/>
          <w:marRight w:val="0"/>
          <w:marTop w:val="0"/>
          <w:marBottom w:val="0"/>
          <w:divBdr>
            <w:top w:val="none" w:sz="0" w:space="0" w:color="auto"/>
            <w:left w:val="none" w:sz="0" w:space="0" w:color="auto"/>
            <w:bottom w:val="none" w:sz="0" w:space="0" w:color="auto"/>
            <w:right w:val="none" w:sz="0" w:space="0" w:color="auto"/>
          </w:divBdr>
        </w:div>
      </w:divsChild>
    </w:div>
    <w:div w:id="429280340">
      <w:bodyDiv w:val="1"/>
      <w:marLeft w:val="0"/>
      <w:marRight w:val="0"/>
      <w:marTop w:val="0"/>
      <w:marBottom w:val="0"/>
      <w:divBdr>
        <w:top w:val="none" w:sz="0" w:space="0" w:color="auto"/>
        <w:left w:val="none" w:sz="0" w:space="0" w:color="auto"/>
        <w:bottom w:val="none" w:sz="0" w:space="0" w:color="auto"/>
        <w:right w:val="none" w:sz="0" w:space="0" w:color="auto"/>
      </w:divBdr>
    </w:div>
    <w:div w:id="465242023">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26736708">
      <w:bodyDiv w:val="1"/>
      <w:marLeft w:val="0"/>
      <w:marRight w:val="0"/>
      <w:marTop w:val="0"/>
      <w:marBottom w:val="0"/>
      <w:divBdr>
        <w:top w:val="none" w:sz="0" w:space="0" w:color="auto"/>
        <w:left w:val="none" w:sz="0" w:space="0" w:color="auto"/>
        <w:bottom w:val="none" w:sz="0" w:space="0" w:color="auto"/>
        <w:right w:val="none" w:sz="0" w:space="0" w:color="auto"/>
      </w:divBdr>
    </w:div>
    <w:div w:id="643854899">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388">
      <w:bodyDiv w:val="1"/>
      <w:marLeft w:val="0"/>
      <w:marRight w:val="0"/>
      <w:marTop w:val="0"/>
      <w:marBottom w:val="0"/>
      <w:divBdr>
        <w:top w:val="none" w:sz="0" w:space="0" w:color="auto"/>
        <w:left w:val="none" w:sz="0" w:space="0" w:color="auto"/>
        <w:bottom w:val="none" w:sz="0" w:space="0" w:color="auto"/>
        <w:right w:val="none" w:sz="0" w:space="0" w:color="auto"/>
      </w:divBdr>
    </w:div>
    <w:div w:id="810562336">
      <w:bodyDiv w:val="1"/>
      <w:marLeft w:val="0"/>
      <w:marRight w:val="0"/>
      <w:marTop w:val="0"/>
      <w:marBottom w:val="0"/>
      <w:divBdr>
        <w:top w:val="none" w:sz="0" w:space="0" w:color="auto"/>
        <w:left w:val="none" w:sz="0" w:space="0" w:color="auto"/>
        <w:bottom w:val="none" w:sz="0" w:space="0" w:color="auto"/>
        <w:right w:val="none" w:sz="0" w:space="0" w:color="auto"/>
      </w:divBdr>
    </w:div>
    <w:div w:id="837503479">
      <w:bodyDiv w:val="1"/>
      <w:marLeft w:val="0"/>
      <w:marRight w:val="0"/>
      <w:marTop w:val="0"/>
      <w:marBottom w:val="0"/>
      <w:divBdr>
        <w:top w:val="none" w:sz="0" w:space="0" w:color="auto"/>
        <w:left w:val="none" w:sz="0" w:space="0" w:color="auto"/>
        <w:bottom w:val="none" w:sz="0" w:space="0" w:color="auto"/>
        <w:right w:val="none" w:sz="0" w:space="0" w:color="auto"/>
      </w:divBdr>
    </w:div>
    <w:div w:id="864633729">
      <w:bodyDiv w:val="1"/>
      <w:marLeft w:val="0"/>
      <w:marRight w:val="0"/>
      <w:marTop w:val="0"/>
      <w:marBottom w:val="0"/>
      <w:divBdr>
        <w:top w:val="none" w:sz="0" w:space="0" w:color="auto"/>
        <w:left w:val="none" w:sz="0" w:space="0" w:color="auto"/>
        <w:bottom w:val="none" w:sz="0" w:space="0" w:color="auto"/>
        <w:right w:val="none" w:sz="0" w:space="0" w:color="auto"/>
      </w:divBdr>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2389945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2439">
      <w:bodyDiv w:val="1"/>
      <w:marLeft w:val="0"/>
      <w:marRight w:val="0"/>
      <w:marTop w:val="0"/>
      <w:marBottom w:val="0"/>
      <w:divBdr>
        <w:top w:val="none" w:sz="0" w:space="0" w:color="auto"/>
        <w:left w:val="none" w:sz="0" w:space="0" w:color="auto"/>
        <w:bottom w:val="none" w:sz="0" w:space="0" w:color="auto"/>
        <w:right w:val="none" w:sz="0" w:space="0" w:color="auto"/>
      </w:divBdr>
    </w:div>
    <w:div w:id="1186554327">
      <w:bodyDiv w:val="1"/>
      <w:marLeft w:val="0"/>
      <w:marRight w:val="0"/>
      <w:marTop w:val="0"/>
      <w:marBottom w:val="0"/>
      <w:divBdr>
        <w:top w:val="none" w:sz="0" w:space="0" w:color="auto"/>
        <w:left w:val="none" w:sz="0" w:space="0" w:color="auto"/>
        <w:bottom w:val="none" w:sz="0" w:space="0" w:color="auto"/>
        <w:right w:val="none" w:sz="0" w:space="0" w:color="auto"/>
      </w:divBdr>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14869632">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0664966">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29276868">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31855925">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554539324">
      <w:bodyDiv w:val="1"/>
      <w:marLeft w:val="0"/>
      <w:marRight w:val="0"/>
      <w:marTop w:val="0"/>
      <w:marBottom w:val="0"/>
      <w:divBdr>
        <w:top w:val="none" w:sz="0" w:space="0" w:color="auto"/>
        <w:left w:val="none" w:sz="0" w:space="0" w:color="auto"/>
        <w:bottom w:val="none" w:sz="0" w:space="0" w:color="auto"/>
        <w:right w:val="none" w:sz="0" w:space="0" w:color="auto"/>
      </w:divBdr>
    </w:div>
    <w:div w:id="1641181672">
      <w:bodyDiv w:val="1"/>
      <w:marLeft w:val="0"/>
      <w:marRight w:val="0"/>
      <w:marTop w:val="0"/>
      <w:marBottom w:val="0"/>
      <w:divBdr>
        <w:top w:val="none" w:sz="0" w:space="0" w:color="auto"/>
        <w:left w:val="none" w:sz="0" w:space="0" w:color="auto"/>
        <w:bottom w:val="none" w:sz="0" w:space="0" w:color="auto"/>
        <w:right w:val="none" w:sz="0" w:space="0" w:color="auto"/>
      </w:divBdr>
    </w:div>
    <w:div w:id="1667172927">
      <w:bodyDiv w:val="1"/>
      <w:marLeft w:val="0"/>
      <w:marRight w:val="0"/>
      <w:marTop w:val="0"/>
      <w:marBottom w:val="0"/>
      <w:divBdr>
        <w:top w:val="none" w:sz="0" w:space="0" w:color="auto"/>
        <w:left w:val="none" w:sz="0" w:space="0" w:color="auto"/>
        <w:bottom w:val="none" w:sz="0" w:space="0" w:color="auto"/>
        <w:right w:val="none" w:sz="0" w:space="0" w:color="auto"/>
      </w:divBdr>
    </w:div>
    <w:div w:id="1720008234">
      <w:bodyDiv w:val="1"/>
      <w:marLeft w:val="0"/>
      <w:marRight w:val="0"/>
      <w:marTop w:val="0"/>
      <w:marBottom w:val="0"/>
      <w:divBdr>
        <w:top w:val="none" w:sz="0" w:space="0" w:color="auto"/>
        <w:left w:val="none" w:sz="0" w:space="0" w:color="auto"/>
        <w:bottom w:val="none" w:sz="0" w:space="0" w:color="auto"/>
        <w:right w:val="none" w:sz="0" w:space="0" w:color="auto"/>
      </w:divBdr>
    </w:div>
    <w:div w:id="1754089578">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582414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69628312">
      <w:bodyDiv w:val="1"/>
      <w:marLeft w:val="0"/>
      <w:marRight w:val="0"/>
      <w:marTop w:val="0"/>
      <w:marBottom w:val="0"/>
      <w:divBdr>
        <w:top w:val="none" w:sz="0" w:space="0" w:color="auto"/>
        <w:left w:val="none" w:sz="0" w:space="0" w:color="auto"/>
        <w:bottom w:val="none" w:sz="0" w:space="0" w:color="auto"/>
        <w:right w:val="none" w:sz="0" w:space="0" w:color="auto"/>
      </w:divBdr>
    </w:div>
    <w:div w:id="1985230877">
      <w:bodyDiv w:val="1"/>
      <w:marLeft w:val="0"/>
      <w:marRight w:val="0"/>
      <w:marTop w:val="0"/>
      <w:marBottom w:val="0"/>
      <w:divBdr>
        <w:top w:val="none" w:sz="0" w:space="0" w:color="auto"/>
        <w:left w:val="none" w:sz="0" w:space="0" w:color="auto"/>
        <w:bottom w:val="none" w:sz="0" w:space="0" w:color="auto"/>
        <w:right w:val="none" w:sz="0" w:space="0" w:color="auto"/>
      </w:divBdr>
    </w:div>
    <w:div w:id="1989818172">
      <w:bodyDiv w:val="1"/>
      <w:marLeft w:val="0"/>
      <w:marRight w:val="0"/>
      <w:marTop w:val="0"/>
      <w:marBottom w:val="0"/>
      <w:divBdr>
        <w:top w:val="none" w:sz="0" w:space="0" w:color="auto"/>
        <w:left w:val="none" w:sz="0" w:space="0" w:color="auto"/>
        <w:bottom w:val="none" w:sz="0" w:space="0" w:color="auto"/>
        <w:right w:val="none" w:sz="0" w:space="0" w:color="auto"/>
      </w:divBdr>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062090610">
      <w:bodyDiv w:val="1"/>
      <w:marLeft w:val="0"/>
      <w:marRight w:val="0"/>
      <w:marTop w:val="0"/>
      <w:marBottom w:val="0"/>
      <w:divBdr>
        <w:top w:val="none" w:sz="0" w:space="0" w:color="auto"/>
        <w:left w:val="none" w:sz="0" w:space="0" w:color="auto"/>
        <w:bottom w:val="none" w:sz="0" w:space="0" w:color="auto"/>
        <w:right w:val="none" w:sz="0" w:space="0" w:color="auto"/>
      </w:divBdr>
    </w:div>
    <w:div w:id="2067340048">
      <w:bodyDiv w:val="1"/>
      <w:marLeft w:val="0"/>
      <w:marRight w:val="0"/>
      <w:marTop w:val="0"/>
      <w:marBottom w:val="0"/>
      <w:divBdr>
        <w:top w:val="none" w:sz="0" w:space="0" w:color="auto"/>
        <w:left w:val="none" w:sz="0" w:space="0" w:color="auto"/>
        <w:bottom w:val="none" w:sz="0" w:space="0" w:color="auto"/>
        <w:right w:val="none" w:sz="0" w:space="0" w:color="auto"/>
      </w:divBdr>
    </w:div>
    <w:div w:id="2110349570">
      <w:bodyDiv w:val="1"/>
      <w:marLeft w:val="0"/>
      <w:marRight w:val="0"/>
      <w:marTop w:val="0"/>
      <w:marBottom w:val="0"/>
      <w:divBdr>
        <w:top w:val="none" w:sz="0" w:space="0" w:color="auto"/>
        <w:left w:val="none" w:sz="0" w:space="0" w:color="auto"/>
        <w:bottom w:val="none" w:sz="0" w:space="0" w:color="auto"/>
        <w:right w:val="none" w:sz="0" w:space="0" w:color="auto"/>
      </w:divBdr>
      <w:divsChild>
        <w:div w:id="398790340">
          <w:marLeft w:val="0"/>
          <w:marRight w:val="0"/>
          <w:marTop w:val="0"/>
          <w:marBottom w:val="0"/>
          <w:divBdr>
            <w:top w:val="none" w:sz="0" w:space="0" w:color="auto"/>
            <w:left w:val="none" w:sz="0" w:space="0" w:color="auto"/>
            <w:bottom w:val="none" w:sz="0" w:space="0" w:color="auto"/>
            <w:right w:val="none" w:sz="0" w:space="0" w:color="auto"/>
          </w:divBdr>
        </w:div>
      </w:divsChild>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E525-795E-496C-9957-71FBC80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5627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Heike Schuster</cp:lastModifiedBy>
  <cp:revision>14</cp:revision>
  <cp:lastPrinted>2017-01-29T15:04:00Z</cp:lastPrinted>
  <dcterms:created xsi:type="dcterms:W3CDTF">2026-03-26T07:31:00Z</dcterms:created>
  <dcterms:modified xsi:type="dcterms:W3CDTF">2026-04-01T07:00:00Z</dcterms:modified>
</cp:coreProperties>
</file>