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D915" w14:textId="38517663" w:rsidR="006A5F97" w:rsidRPr="006A5F97" w:rsidRDefault="00BB39DB" w:rsidP="00A36700">
      <w:pPr>
        <w:spacing w:line="300" w:lineRule="atLeast"/>
        <w:rPr>
          <w:rFonts w:ascii="Verdana" w:hAnsi="Verdana"/>
          <w:sz w:val="28"/>
          <w:szCs w:val="28"/>
        </w:rPr>
      </w:pPr>
      <w:r w:rsidRPr="00BB39DB">
        <w:rPr>
          <w:rFonts w:ascii="Verdana" w:hAnsi="Verdana"/>
          <w:sz w:val="28"/>
          <w:szCs w:val="28"/>
        </w:rPr>
        <w:t>Mehrgeschossiger Holzrahmenbau</w:t>
      </w:r>
      <w:r w:rsidR="0056560F">
        <w:rPr>
          <w:rFonts w:ascii="Verdana" w:hAnsi="Verdana"/>
          <w:sz w:val="28"/>
          <w:szCs w:val="28"/>
        </w:rPr>
        <w:t>: Erwe</w:t>
      </w:r>
      <w:r w:rsidRPr="00BB39DB">
        <w:rPr>
          <w:rFonts w:ascii="Verdana" w:hAnsi="Verdana"/>
          <w:sz w:val="28"/>
          <w:szCs w:val="28"/>
        </w:rPr>
        <w:t>itert</w:t>
      </w:r>
      <w:r w:rsidR="004275FC">
        <w:rPr>
          <w:rFonts w:ascii="Verdana" w:hAnsi="Verdana"/>
          <w:sz w:val="28"/>
          <w:szCs w:val="28"/>
        </w:rPr>
        <w:t>e</w:t>
      </w:r>
      <w:r w:rsidRPr="00BB39DB">
        <w:rPr>
          <w:rFonts w:ascii="Verdana" w:hAnsi="Verdana"/>
          <w:sz w:val="28"/>
          <w:szCs w:val="28"/>
        </w:rPr>
        <w:t xml:space="preserve"> Zulassung für nichtbrennbares WDVS</w:t>
      </w:r>
    </w:p>
    <w:p w14:paraId="4CF2DF0A" w14:textId="77777777" w:rsidR="00BB39DB" w:rsidRDefault="00BB39DB" w:rsidP="006A5F97">
      <w:pPr>
        <w:spacing w:before="120" w:line="300" w:lineRule="atLeast"/>
        <w:rPr>
          <w:rFonts w:ascii="Verdana" w:hAnsi="Verdana"/>
          <w:sz w:val="24"/>
          <w:szCs w:val="24"/>
        </w:rPr>
      </w:pPr>
      <w:r w:rsidRPr="00BB39DB">
        <w:rPr>
          <w:rFonts w:ascii="Verdana" w:hAnsi="Verdana"/>
          <w:sz w:val="24"/>
          <w:szCs w:val="24"/>
        </w:rPr>
        <w:t>Höhere Dämmstoffdicken für zukunftssichere Holzbauprojekte / Erweiterte Anwendungen im Mehrfamilien- und Hochhausbau</w:t>
      </w:r>
    </w:p>
    <w:p w14:paraId="793D8EC7" w14:textId="7C602F27" w:rsidR="00BB39DB" w:rsidRPr="00BB39DB" w:rsidRDefault="00BB39DB" w:rsidP="00BB39DB">
      <w:pPr>
        <w:spacing w:before="12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 xml:space="preserve">Der Holzrahmenbau überzeugt mit Flexibilität, Geschwindigkeit und Nachhaltigkeit. Besonders im mehrgeschossigen Holzrahmenbau liegt die Zukunft. </w:t>
      </w:r>
      <w:r w:rsidR="0056560F">
        <w:rPr>
          <w:rFonts w:ascii="Verdana" w:hAnsi="Verdana"/>
        </w:rPr>
        <w:t>A</w:t>
      </w:r>
      <w:r w:rsidRPr="00BB39DB">
        <w:rPr>
          <w:rFonts w:ascii="Verdana" w:hAnsi="Verdana"/>
        </w:rPr>
        <w:t>uch Aufstockungen</w:t>
      </w:r>
      <w:r w:rsidR="0056560F">
        <w:rPr>
          <w:rFonts w:ascii="Verdana" w:hAnsi="Verdana"/>
        </w:rPr>
        <w:t xml:space="preserve"> gewinnen i</w:t>
      </w:r>
      <w:r w:rsidR="0056560F" w:rsidRPr="00BB39DB">
        <w:rPr>
          <w:rFonts w:ascii="Verdana" w:hAnsi="Verdana"/>
        </w:rPr>
        <w:t>n Zeiten</w:t>
      </w:r>
      <w:r w:rsidR="0056560F">
        <w:rPr>
          <w:rFonts w:ascii="Verdana" w:hAnsi="Verdana"/>
        </w:rPr>
        <w:t xml:space="preserve"> von Wohnraum- und Flächenknappheit</w:t>
      </w:r>
      <w:r w:rsidRPr="00BB39DB">
        <w:rPr>
          <w:rFonts w:ascii="Verdana" w:hAnsi="Verdana"/>
        </w:rPr>
        <w:t xml:space="preserve"> </w:t>
      </w:r>
      <w:r w:rsidR="0056560F">
        <w:rPr>
          <w:rFonts w:ascii="Verdana" w:hAnsi="Verdana"/>
        </w:rPr>
        <w:t>an Bedeutung</w:t>
      </w:r>
      <w:r w:rsidRPr="00BB39DB">
        <w:rPr>
          <w:rFonts w:ascii="Verdana" w:hAnsi="Verdana"/>
        </w:rPr>
        <w:t xml:space="preserve">. </w:t>
      </w:r>
      <w:r w:rsidR="004275FC">
        <w:rPr>
          <w:rFonts w:ascii="Verdana" w:hAnsi="Verdana"/>
        </w:rPr>
        <w:t xml:space="preserve">Dabei </w:t>
      </w:r>
      <w:r w:rsidRPr="00BB39DB">
        <w:rPr>
          <w:rFonts w:ascii="Verdana" w:hAnsi="Verdana"/>
        </w:rPr>
        <w:t>stellt der Brandschutz die zentrale Herausforderung dar.</w:t>
      </w:r>
    </w:p>
    <w:p w14:paraId="4CECA98C" w14:textId="04B9491C" w:rsidR="006A5F97" w:rsidRDefault="00BB39DB" w:rsidP="00BB39DB">
      <w:pPr>
        <w:spacing w:before="12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 xml:space="preserve">Mit einer erweiterten bauaufsichtlichen Zulassung für </w:t>
      </w:r>
      <w:r w:rsidR="004275FC">
        <w:rPr>
          <w:rFonts w:ascii="Verdana" w:hAnsi="Verdana"/>
        </w:rPr>
        <w:t>Wärmedämmverbundsysteme (</w:t>
      </w:r>
      <w:r w:rsidRPr="00BB39DB">
        <w:rPr>
          <w:rFonts w:ascii="Verdana" w:hAnsi="Verdana"/>
        </w:rPr>
        <w:t>WDVS</w:t>
      </w:r>
      <w:r w:rsidR="004275FC">
        <w:rPr>
          <w:rFonts w:ascii="Verdana" w:hAnsi="Verdana"/>
        </w:rPr>
        <w:t>)</w:t>
      </w:r>
      <w:r w:rsidRPr="00BB39DB">
        <w:rPr>
          <w:rFonts w:ascii="Verdana" w:hAnsi="Verdana"/>
        </w:rPr>
        <w:t xml:space="preserve"> im Holzbau ermöglicht HECK Wall Systems jetzt Dämmstoffdicken bis 360 mm bei vollständiger Nichtbrennbarkeit</w:t>
      </w:r>
      <w:r w:rsidR="0056560F">
        <w:rPr>
          <w:rFonts w:ascii="Verdana" w:hAnsi="Verdana"/>
        </w:rPr>
        <w:t xml:space="preserve"> (A2)</w:t>
      </w:r>
      <w:r w:rsidRPr="00BB39DB">
        <w:rPr>
          <w:rFonts w:ascii="Verdana" w:hAnsi="Verdana"/>
        </w:rPr>
        <w:t>. Dies löst bisherige Brandschutz</w:t>
      </w:r>
      <w:r w:rsidR="004275FC">
        <w:rPr>
          <w:rFonts w:ascii="Verdana" w:hAnsi="Verdana"/>
        </w:rPr>
        <w:t>h</w:t>
      </w:r>
      <w:r w:rsidRPr="00BB39DB">
        <w:rPr>
          <w:rFonts w:ascii="Verdana" w:hAnsi="Verdana"/>
        </w:rPr>
        <w:t>ürden im mehrgeschossigen Holzrahmenbau.</w:t>
      </w:r>
    </w:p>
    <w:p w14:paraId="46C52207" w14:textId="77777777" w:rsidR="00D2358C" w:rsidRPr="006A5F97" w:rsidRDefault="00D2358C" w:rsidP="00D2358C">
      <w:pPr>
        <w:rPr>
          <w:rFonts w:ascii="Verdana" w:hAnsi="Verdana"/>
        </w:rPr>
      </w:pPr>
    </w:p>
    <w:p w14:paraId="2E3150A1" w14:textId="636D176B" w:rsidR="006A5F97" w:rsidRPr="006A5F97" w:rsidRDefault="00327004" w:rsidP="00D2358C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Antwort auf steigende </w:t>
      </w:r>
      <w:r w:rsidR="00BB39DB" w:rsidRPr="00BB39DB">
        <w:rPr>
          <w:rFonts w:ascii="Verdana" w:hAnsi="Verdana"/>
          <w:b/>
          <w:bCs/>
        </w:rPr>
        <w:t>Anforderungen</w:t>
      </w:r>
    </w:p>
    <w:p w14:paraId="76E12BE0" w14:textId="1953EF7E" w:rsidR="00BB39DB" w:rsidRPr="00BB39DB" w:rsidRDefault="00BB39DB" w:rsidP="00BB39DB">
      <w:pPr>
        <w:spacing w:before="6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 xml:space="preserve">Die aktualisierte Zulassung HECK Holzbau A2 eröffnet Planern und Bauunternehmen verbesserte Gestaltungsmöglichkeiten. </w:t>
      </w:r>
      <w:r w:rsidR="00327004">
        <w:rPr>
          <w:rFonts w:ascii="Verdana" w:hAnsi="Verdana"/>
        </w:rPr>
        <w:t xml:space="preserve">Diese </w:t>
      </w:r>
      <w:r w:rsidRPr="00BB39DB">
        <w:rPr>
          <w:rFonts w:ascii="Verdana" w:hAnsi="Verdana"/>
        </w:rPr>
        <w:t xml:space="preserve">Dämmstoffdicken können </w:t>
      </w:r>
      <w:r w:rsidR="009D6F29">
        <w:rPr>
          <w:rFonts w:ascii="Verdana" w:hAnsi="Verdana"/>
        </w:rPr>
        <w:t xml:space="preserve">jetzt mit Steinwolle </w:t>
      </w:r>
      <w:r w:rsidRPr="00BB39DB">
        <w:rPr>
          <w:rFonts w:ascii="Verdana" w:hAnsi="Verdana"/>
        </w:rPr>
        <w:t>realisiert werden:</w:t>
      </w:r>
    </w:p>
    <w:p w14:paraId="375D323A" w14:textId="4E64F204" w:rsidR="00BB39DB" w:rsidRPr="00BB39DB" w:rsidRDefault="00BB39DB" w:rsidP="009D6F29">
      <w:pPr>
        <w:spacing w:before="6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BB39DB">
        <w:rPr>
          <w:rFonts w:ascii="Verdana" w:hAnsi="Verdana"/>
        </w:rPr>
        <w:t>Einlagig bis 300 mm für kompakte Konstruktionen mit optimiertem Wandaufbau</w:t>
      </w:r>
    </w:p>
    <w:p w14:paraId="3758EE8B" w14:textId="11A5690F" w:rsidR="00BB39DB" w:rsidRPr="00BB39DB" w:rsidRDefault="00BB39DB" w:rsidP="009D6F29">
      <w:pPr>
        <w:spacing w:line="300" w:lineRule="atLeast"/>
        <w:rPr>
          <w:rFonts w:ascii="Verdana" w:hAnsi="Verdana"/>
        </w:rPr>
      </w:pPr>
      <w:r w:rsidRPr="00BB39DB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BB39DB">
        <w:rPr>
          <w:rFonts w:ascii="Verdana" w:hAnsi="Verdana"/>
        </w:rPr>
        <w:t>Zweilagig bis 360 mm für maximale Energieeffizienz auch bei höchsten Anforderungen</w:t>
      </w:r>
    </w:p>
    <w:p w14:paraId="239355D9" w14:textId="4BF37499" w:rsidR="00BB39DB" w:rsidRPr="00BB39DB" w:rsidRDefault="00BB39DB" w:rsidP="00BB39DB">
      <w:pPr>
        <w:spacing w:before="12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 xml:space="preserve">Bei zweilagiger Verlegung ist </w:t>
      </w:r>
      <w:r w:rsidR="00327004">
        <w:rPr>
          <w:rFonts w:ascii="Verdana" w:hAnsi="Verdana"/>
        </w:rPr>
        <w:t xml:space="preserve">zwischen den Lagen </w:t>
      </w:r>
      <w:r w:rsidRPr="00BB39DB">
        <w:rPr>
          <w:rFonts w:ascii="Verdana" w:hAnsi="Verdana"/>
        </w:rPr>
        <w:t>ein Klebeflächenanteil von mindestens 40 Prozent erforderlich. Die aktualisierte Zulassung definiert zudem zulässige Feldgrößen für Dämmstoffdicken über 200 mm sowie die Zulässigkeit versenkter Verdübelung bis 200 mm Dämmstoffdicke.</w:t>
      </w:r>
    </w:p>
    <w:p w14:paraId="5C709915" w14:textId="58ACAA71" w:rsidR="0055414A" w:rsidRDefault="00BB39DB" w:rsidP="00BB39DB">
      <w:pPr>
        <w:spacing w:before="12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 xml:space="preserve">Diese Flexibilität </w:t>
      </w:r>
      <w:r w:rsidR="00327004">
        <w:rPr>
          <w:rFonts w:ascii="Verdana" w:hAnsi="Verdana"/>
        </w:rPr>
        <w:t xml:space="preserve">wird den </w:t>
      </w:r>
      <w:r w:rsidRPr="00BB39DB">
        <w:rPr>
          <w:rFonts w:ascii="Verdana" w:hAnsi="Verdana"/>
        </w:rPr>
        <w:t>wachsende</w:t>
      </w:r>
      <w:r w:rsidR="00327004">
        <w:rPr>
          <w:rFonts w:ascii="Verdana" w:hAnsi="Verdana"/>
        </w:rPr>
        <w:t>n</w:t>
      </w:r>
      <w:r w:rsidRPr="00BB39DB">
        <w:rPr>
          <w:rFonts w:ascii="Verdana" w:hAnsi="Verdana"/>
        </w:rPr>
        <w:t xml:space="preserve"> Anforderungen an Wärmeschutz, Energieeinsparung und Nachhaltigkeit</w:t>
      </w:r>
      <w:r w:rsidR="00327004">
        <w:rPr>
          <w:rFonts w:ascii="Verdana" w:hAnsi="Verdana"/>
        </w:rPr>
        <w:t xml:space="preserve"> gerecht</w:t>
      </w:r>
      <w:r w:rsidRPr="00BB39DB">
        <w:rPr>
          <w:rFonts w:ascii="Verdana" w:hAnsi="Verdana"/>
        </w:rPr>
        <w:t>. Besonders bei Aufstockung</w:t>
      </w:r>
      <w:r w:rsidR="00327004">
        <w:rPr>
          <w:rFonts w:ascii="Verdana" w:hAnsi="Verdana"/>
        </w:rPr>
        <w:t xml:space="preserve">en </w:t>
      </w:r>
      <w:r w:rsidRPr="00BB39DB">
        <w:rPr>
          <w:rFonts w:ascii="Verdana" w:hAnsi="Verdana"/>
        </w:rPr>
        <w:t>und energetischen Sanierungen ermöglicht dies effiziente Lösungen ohne Kompromisse beim Brandschutz.</w:t>
      </w:r>
    </w:p>
    <w:p w14:paraId="74E36653" w14:textId="77777777" w:rsidR="00D2358C" w:rsidRDefault="00D2358C" w:rsidP="00D2358C">
      <w:pPr>
        <w:rPr>
          <w:rFonts w:ascii="Verdana" w:hAnsi="Verdana"/>
        </w:rPr>
      </w:pPr>
    </w:p>
    <w:p w14:paraId="08123E40" w14:textId="12F74D9D" w:rsidR="00BD69EB" w:rsidRPr="006A5F97" w:rsidRDefault="00BB39DB" w:rsidP="00D2358C">
      <w:pPr>
        <w:spacing w:line="300" w:lineRule="atLeast"/>
        <w:rPr>
          <w:rFonts w:ascii="Verdana" w:hAnsi="Verdana"/>
          <w:b/>
          <w:bCs/>
        </w:rPr>
      </w:pPr>
      <w:r w:rsidRPr="00BB39DB">
        <w:rPr>
          <w:rFonts w:ascii="Verdana" w:hAnsi="Verdana"/>
          <w:b/>
          <w:bCs/>
        </w:rPr>
        <w:t>A2-Nichtbrennbarkeit als entscheidender Vorteil</w:t>
      </w:r>
    </w:p>
    <w:p w14:paraId="1F64FA94" w14:textId="4D5E0653" w:rsidR="00BB39DB" w:rsidRPr="00BB39DB" w:rsidRDefault="00BB39DB" w:rsidP="00BB39DB">
      <w:pPr>
        <w:spacing w:before="6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>Das Kernmerkmal von HECK Holzbau A2 bleibt unverändert</w:t>
      </w:r>
      <w:r w:rsidR="00327004">
        <w:rPr>
          <w:rFonts w:ascii="Verdana" w:hAnsi="Verdana"/>
        </w:rPr>
        <w:t xml:space="preserve">. </w:t>
      </w:r>
      <w:r w:rsidRPr="00BB39DB">
        <w:rPr>
          <w:rFonts w:ascii="Verdana" w:hAnsi="Verdana"/>
        </w:rPr>
        <w:t>Das W</w:t>
      </w:r>
      <w:r w:rsidR="00327004">
        <w:rPr>
          <w:rFonts w:ascii="Verdana" w:hAnsi="Verdana"/>
        </w:rPr>
        <w:t xml:space="preserve">DVS </w:t>
      </w:r>
      <w:r w:rsidRPr="00BB39DB">
        <w:rPr>
          <w:rFonts w:ascii="Verdana" w:hAnsi="Verdana"/>
        </w:rPr>
        <w:t>bietet echte A2-Nichtbrennbarkeit (A2-s1, d0) in Holzrahmenkonstruktionen</w:t>
      </w:r>
      <w:r w:rsidR="00327004">
        <w:rPr>
          <w:rFonts w:ascii="Verdana" w:hAnsi="Verdana"/>
        </w:rPr>
        <w:t xml:space="preserve">: </w:t>
      </w:r>
    </w:p>
    <w:p w14:paraId="7FEDD2EF" w14:textId="7B6CD2F0" w:rsidR="00BB39DB" w:rsidRPr="00BB39DB" w:rsidRDefault="00BB39DB" w:rsidP="00BB39DB">
      <w:pPr>
        <w:spacing w:before="12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BB39DB">
        <w:rPr>
          <w:rFonts w:ascii="Verdana" w:hAnsi="Verdana"/>
        </w:rPr>
        <w:t>Unabhängigkeit von Gebäudeklassen: Das System erfüllt höchste Brandschutzanforderungen</w:t>
      </w:r>
      <w:r w:rsidR="00327004">
        <w:rPr>
          <w:rFonts w:ascii="Verdana" w:hAnsi="Verdana"/>
        </w:rPr>
        <w:t xml:space="preserve"> </w:t>
      </w:r>
      <w:r w:rsidRPr="00BB39DB">
        <w:rPr>
          <w:rFonts w:ascii="Verdana" w:hAnsi="Verdana"/>
        </w:rPr>
        <w:t>bei</w:t>
      </w:r>
      <w:r w:rsidR="00A36700">
        <w:rPr>
          <w:rFonts w:ascii="Verdana" w:hAnsi="Verdana"/>
        </w:rPr>
        <w:t xml:space="preserve"> </w:t>
      </w:r>
      <w:r w:rsidRPr="00BB39DB">
        <w:rPr>
          <w:rFonts w:ascii="Verdana" w:hAnsi="Verdana"/>
        </w:rPr>
        <w:t>Ein</w:t>
      </w:r>
      <w:r w:rsidR="00A36700">
        <w:rPr>
          <w:rFonts w:ascii="Verdana" w:hAnsi="Verdana"/>
        </w:rPr>
        <w:t>-, Zwei- und Mehr</w:t>
      </w:r>
      <w:r w:rsidRPr="00BB39DB">
        <w:rPr>
          <w:rFonts w:ascii="Verdana" w:hAnsi="Verdana"/>
        </w:rPr>
        <w:t xml:space="preserve">familienhäusern, öffentlichen </w:t>
      </w:r>
      <w:r w:rsidR="00A36700">
        <w:rPr>
          <w:rFonts w:ascii="Verdana" w:hAnsi="Verdana"/>
        </w:rPr>
        <w:t xml:space="preserve">und gewerblichen </w:t>
      </w:r>
      <w:r w:rsidRPr="00BB39DB">
        <w:rPr>
          <w:rFonts w:ascii="Verdana" w:hAnsi="Verdana"/>
        </w:rPr>
        <w:t xml:space="preserve">Gebäuden </w:t>
      </w:r>
      <w:r w:rsidR="00A36700">
        <w:rPr>
          <w:rFonts w:ascii="Verdana" w:hAnsi="Verdana"/>
        </w:rPr>
        <w:t>sowie</w:t>
      </w:r>
      <w:r w:rsidRPr="00BB39DB">
        <w:rPr>
          <w:rFonts w:ascii="Verdana" w:hAnsi="Verdana"/>
        </w:rPr>
        <w:t xml:space="preserve"> </w:t>
      </w:r>
      <w:r w:rsidR="00A36700">
        <w:rPr>
          <w:rFonts w:ascii="Verdana" w:hAnsi="Verdana"/>
        </w:rPr>
        <w:t xml:space="preserve">Anbauten und </w:t>
      </w:r>
      <w:r w:rsidR="00A36700" w:rsidRPr="00BB39DB">
        <w:rPr>
          <w:rFonts w:ascii="Verdana" w:hAnsi="Verdana"/>
        </w:rPr>
        <w:t>Aufstockungen von Mehrfamilien</w:t>
      </w:r>
      <w:r w:rsidR="0008437B">
        <w:rPr>
          <w:rFonts w:ascii="Verdana" w:hAnsi="Verdana"/>
        </w:rPr>
        <w:t xml:space="preserve">- und </w:t>
      </w:r>
      <w:r w:rsidR="00A36700" w:rsidRPr="00BB39DB">
        <w:rPr>
          <w:rFonts w:ascii="Verdana" w:hAnsi="Verdana"/>
        </w:rPr>
        <w:t>Hochhäusern</w:t>
      </w:r>
      <w:r w:rsidRPr="00BB39DB">
        <w:rPr>
          <w:rFonts w:ascii="Verdana" w:hAnsi="Verdana"/>
        </w:rPr>
        <w:t>. Letztere sind in Holzrahmenbauweise bauordnungsrechtlich mit WDVS überhaupt nur in nichtbrennbarer Ausführung zulässig.</w:t>
      </w:r>
    </w:p>
    <w:p w14:paraId="61C20C7D" w14:textId="0F12C09E" w:rsidR="00BB39DB" w:rsidRPr="00BB39DB" w:rsidRDefault="00BB39DB" w:rsidP="00BB39DB">
      <w:pPr>
        <w:spacing w:before="6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BB39DB">
        <w:rPr>
          <w:rFonts w:ascii="Verdana" w:hAnsi="Verdana"/>
        </w:rPr>
        <w:t>Kein Beitrag zum Flashover: Steinwolle mit Schmelzpunkt über 1000 Grad Celsius verhindert die gefürchtete blitzartige Brandausbreitung zum Vollbrand.</w:t>
      </w:r>
    </w:p>
    <w:p w14:paraId="4E631AB0" w14:textId="499CD460" w:rsidR="00BD69EB" w:rsidRDefault="00BB39DB" w:rsidP="00BB39DB">
      <w:pPr>
        <w:spacing w:before="6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BB39DB">
        <w:rPr>
          <w:rFonts w:ascii="Verdana" w:hAnsi="Verdana"/>
        </w:rPr>
        <w:t>Minimale Rauchentwicklung und kein brennendes Abtropfen: Die Klassifizierung s1, d0 garantiert höchste Sicherheit für Bewohner und Einsatzkräfte.</w:t>
      </w:r>
    </w:p>
    <w:p w14:paraId="41CEE4CE" w14:textId="77777777" w:rsidR="00BB39DB" w:rsidRDefault="00BB39DB" w:rsidP="009D6F29">
      <w:pPr>
        <w:rPr>
          <w:rFonts w:ascii="Verdana" w:hAnsi="Verdana"/>
        </w:rPr>
      </w:pPr>
    </w:p>
    <w:p w14:paraId="4DCB93F6" w14:textId="0B0192B2" w:rsidR="006A5F97" w:rsidRDefault="00BB39DB" w:rsidP="00D2358C">
      <w:pPr>
        <w:spacing w:line="300" w:lineRule="atLeast"/>
        <w:rPr>
          <w:rFonts w:ascii="Verdana" w:hAnsi="Verdana"/>
          <w:b/>
          <w:bCs/>
        </w:rPr>
      </w:pPr>
      <w:r w:rsidRPr="00BB39DB">
        <w:rPr>
          <w:rFonts w:ascii="Verdana" w:hAnsi="Verdana"/>
          <w:b/>
          <w:bCs/>
        </w:rPr>
        <w:t>Systemische Lösung mit geprüften Komponenten und breiter Einsatzbarkeit</w:t>
      </w:r>
    </w:p>
    <w:p w14:paraId="7C33CD16" w14:textId="0B1A8BFF" w:rsidR="006A5F97" w:rsidRPr="006A5F97" w:rsidRDefault="00BB39DB" w:rsidP="00A36700">
      <w:pPr>
        <w:spacing w:before="60" w:line="300" w:lineRule="atLeast"/>
        <w:rPr>
          <w:rFonts w:ascii="Verdana" w:hAnsi="Verdana"/>
        </w:rPr>
      </w:pPr>
      <w:r w:rsidRPr="00BB39DB">
        <w:rPr>
          <w:rFonts w:ascii="Verdana" w:hAnsi="Verdana"/>
        </w:rPr>
        <w:t xml:space="preserve">HECK Holzbau A2 funktioniert als aufeinander abgestimmtes System aus nichtbrennbaren Komponenten. Kernstück ist die Steinwolle-Dämmplatte HECK Coverrock X-2. Zudem ist </w:t>
      </w:r>
      <w:r w:rsidRPr="00BB39DB">
        <w:rPr>
          <w:rFonts w:ascii="Verdana" w:hAnsi="Verdana"/>
        </w:rPr>
        <w:lastRenderedPageBreak/>
        <w:t>es mit dem Blauen Engel zertifiziert. Die aktualisierte Zulassung ist auf der HECK-Website abrufbar.</w:t>
      </w:r>
    </w:p>
    <w:p w14:paraId="7A78FDE8" w14:textId="77777777" w:rsidR="00584EB9" w:rsidRDefault="00584EB9" w:rsidP="00896CC4">
      <w:pPr>
        <w:rPr>
          <w:rFonts w:ascii="Verdana" w:hAnsi="Verdana"/>
          <w:i/>
        </w:rPr>
      </w:pPr>
    </w:p>
    <w:p w14:paraId="1F083093" w14:textId="0643ADB6" w:rsidR="00114C5F" w:rsidRDefault="00114C5F" w:rsidP="00896CC4">
      <w:pPr>
        <w:rPr>
          <w:rFonts w:ascii="Verdana" w:hAnsi="Verdana"/>
          <w:i/>
        </w:rPr>
      </w:pPr>
      <w:r w:rsidRPr="001C54E2">
        <w:rPr>
          <w:rFonts w:ascii="Verdana" w:hAnsi="Verdana"/>
          <w:i/>
        </w:rPr>
        <w:t>(</w:t>
      </w:r>
      <w:r w:rsidR="00A36700">
        <w:rPr>
          <w:rFonts w:ascii="Verdana" w:hAnsi="Verdana"/>
          <w:i/>
        </w:rPr>
        <w:t>2.</w:t>
      </w:r>
      <w:r w:rsidR="0008437B">
        <w:rPr>
          <w:rFonts w:ascii="Verdana" w:hAnsi="Verdana"/>
          <w:i/>
        </w:rPr>
        <w:t>8</w:t>
      </w:r>
      <w:r w:rsidR="009D6F29">
        <w:rPr>
          <w:rFonts w:ascii="Verdana" w:hAnsi="Verdana"/>
          <w:i/>
        </w:rPr>
        <w:t>4</w:t>
      </w:r>
      <w:r w:rsidR="00EB7989">
        <w:rPr>
          <w:rFonts w:ascii="Verdana" w:hAnsi="Verdana"/>
          <w:i/>
        </w:rPr>
        <w:t>4</w:t>
      </w:r>
      <w:r w:rsidR="008946AB">
        <w:rPr>
          <w:rFonts w:ascii="Verdana" w:hAnsi="Verdana"/>
          <w:i/>
        </w:rPr>
        <w:t xml:space="preserve"> </w:t>
      </w:r>
      <w:r w:rsidRPr="001C54E2">
        <w:rPr>
          <w:rFonts w:ascii="Verdana" w:hAnsi="Verdana"/>
          <w:i/>
        </w:rPr>
        <w:t>Zeichen inklusive Leerzeichen)</w:t>
      </w:r>
    </w:p>
    <w:p w14:paraId="763F05F5" w14:textId="77777777" w:rsidR="00A36700" w:rsidRDefault="00A36700" w:rsidP="00896CC4">
      <w:pPr>
        <w:rPr>
          <w:rFonts w:ascii="Verdana" w:hAnsi="Verdana"/>
          <w:i/>
        </w:rPr>
      </w:pPr>
    </w:p>
    <w:p w14:paraId="183C343F" w14:textId="77777777" w:rsidR="00706713" w:rsidRDefault="00706713" w:rsidP="00706713">
      <w:pPr>
        <w:rPr>
          <w:rFonts w:ascii="Verdana" w:hAnsi="Verdana"/>
          <w:i/>
        </w:rPr>
      </w:pPr>
    </w:p>
    <w:p w14:paraId="0034768E" w14:textId="6EE38FCC" w:rsidR="00BB39DB" w:rsidRPr="00BB39DB" w:rsidRDefault="00BB39DB" w:rsidP="00BB39DB">
      <w:pPr>
        <w:pStyle w:val="Textkrper3"/>
        <w:rPr>
          <w:rFonts w:cs="Arial"/>
          <w:i/>
          <w:iCs/>
          <w:u w:val="single"/>
        </w:rPr>
      </w:pPr>
      <w:r w:rsidRPr="00BB39DB">
        <w:rPr>
          <w:rFonts w:cs="Arial"/>
          <w:i/>
          <w:iCs/>
          <w:u w:val="single"/>
        </w:rPr>
        <w:t>Über HECK</w:t>
      </w:r>
    </w:p>
    <w:p w14:paraId="6B71D2CF" w14:textId="77B4DE74" w:rsidR="002F45F5" w:rsidRPr="00BB39DB" w:rsidRDefault="00BB39DB" w:rsidP="00BB39DB">
      <w:pPr>
        <w:pStyle w:val="Textkrper3"/>
        <w:spacing w:after="0"/>
        <w:rPr>
          <w:rFonts w:cs="Arial"/>
          <w:b w:val="0"/>
          <w:bCs/>
          <w:i/>
          <w:iCs/>
        </w:rPr>
      </w:pPr>
      <w:r w:rsidRPr="00BB39DB">
        <w:rPr>
          <w:rFonts w:cs="Arial"/>
          <w:b w:val="0"/>
          <w:bCs/>
          <w:i/>
          <w:iCs/>
        </w:rPr>
        <w:t>HECK Wall Systems mit Sitz in Marktredwitz (Oberfranken) ist ein Hersteller von Spezialbaustoffen für Wärmedämmung und Bausanierung und Teil des ROCKWOOL-Konzerns. Die Produktpalette umfasst neben Wärmedämm-Verbundsystemen aus Steinwolle auch die Bereiche Abdichtung, Unter-, Ober-, Dämm- und Sanierputze, Innendämmlösungen sowie Anstriche.</w:t>
      </w:r>
    </w:p>
    <w:p w14:paraId="136E491E" w14:textId="77777777" w:rsidR="002F45F5" w:rsidRDefault="002F45F5" w:rsidP="009F32D9">
      <w:pPr>
        <w:pStyle w:val="Textkrper3"/>
        <w:spacing w:after="0"/>
        <w:rPr>
          <w:rFonts w:cs="Arial"/>
        </w:rPr>
      </w:pPr>
    </w:p>
    <w:p w14:paraId="258CE9A8" w14:textId="0A3D28B7" w:rsidR="002F45F5" w:rsidRDefault="004275FC" w:rsidP="009F32D9">
      <w:pPr>
        <w:pStyle w:val="Textkrper3"/>
        <w:spacing w:after="0"/>
        <w:rPr>
          <w:rFonts w:cs="Arial"/>
        </w:rPr>
      </w:pPr>
      <w:r>
        <w:rPr>
          <w:rFonts w:cs="Arial"/>
        </w:rPr>
        <w:t>-----------------------------------------------------------------------------------------</w:t>
      </w:r>
    </w:p>
    <w:p w14:paraId="1A0EB12A" w14:textId="77777777" w:rsidR="00BB39DB" w:rsidRDefault="00BB39DB" w:rsidP="00960449">
      <w:pPr>
        <w:pStyle w:val="Textkrper3"/>
        <w:spacing w:after="0"/>
        <w:rPr>
          <w:i/>
          <w:color w:val="000000"/>
          <w:u w:val="single"/>
        </w:rPr>
      </w:pPr>
    </w:p>
    <w:p w14:paraId="3CCE6BE0" w14:textId="338F431E" w:rsidR="00960449" w:rsidRDefault="00960449" w:rsidP="0096044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</w:t>
      </w:r>
      <w:r w:rsidRPr="00212CBD">
        <w:rPr>
          <w:i/>
          <w:color w:val="000000"/>
        </w:rPr>
        <w:t xml:space="preserve">  </w:t>
      </w:r>
    </w:p>
    <w:p w14:paraId="48861494" w14:textId="1F163F3B" w:rsidR="00BB39DB" w:rsidRPr="001C6BF0" w:rsidRDefault="00BB39DB" w:rsidP="00BB39DB">
      <w:pPr>
        <w:spacing w:before="120" w:line="360" w:lineRule="auto"/>
        <w:ind w:right="-40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HECK_Holzbau_Baustelle</w:t>
      </w:r>
    </w:p>
    <w:p w14:paraId="5AD04DDA" w14:textId="4169056D" w:rsidR="00BB39DB" w:rsidRDefault="00294AAB" w:rsidP="00BB39DB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14C882B6" wp14:editId="7287F5D2">
            <wp:extent cx="2190319" cy="1600200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01" cy="160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871B" w14:textId="7075D4AB" w:rsidR="00BB39DB" w:rsidRPr="00A36700" w:rsidRDefault="00BB39DB" w:rsidP="004275FC">
      <w:pPr>
        <w:spacing w:line="280" w:lineRule="atLeast"/>
        <w:rPr>
          <w:rFonts w:ascii="Verdana" w:hAnsi="Verdana"/>
          <w:i/>
          <w:iCs/>
        </w:rPr>
      </w:pPr>
      <w:r w:rsidRPr="00A36700">
        <w:rPr>
          <w:rFonts w:ascii="Verdana" w:hAnsi="Verdana"/>
          <w:i/>
          <w:iCs/>
        </w:rPr>
        <w:t>Das Wärmedämm-Verbundsystem HECK Holzbau A2 ermöglicht jetzt Dämmstoffdicken bis insgesamt 360 mm bei vollständiger Nichtbrennbarkeit im Holzrahmenbau. (Bild: Heck Wall Systems)</w:t>
      </w:r>
    </w:p>
    <w:p w14:paraId="33067377" w14:textId="77777777" w:rsidR="00BB39DB" w:rsidRDefault="00BB39DB" w:rsidP="004275FC">
      <w:pPr>
        <w:rPr>
          <w:rFonts w:ascii="Verdana" w:hAnsi="Verdana"/>
        </w:rPr>
      </w:pPr>
    </w:p>
    <w:p w14:paraId="670B044C" w14:textId="77777777" w:rsidR="004275FC" w:rsidRPr="00BB39DB" w:rsidRDefault="004275FC" w:rsidP="004275FC">
      <w:pPr>
        <w:rPr>
          <w:rFonts w:ascii="Verdana" w:hAnsi="Verdana"/>
        </w:rPr>
      </w:pPr>
    </w:p>
    <w:p w14:paraId="4F0233B6" w14:textId="33847C26" w:rsidR="00BB39DB" w:rsidRPr="00A025C2" w:rsidRDefault="00BB39DB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</w:t>
      </w:r>
    </w:p>
    <w:p w14:paraId="2286A250" w14:textId="1B1B25C2" w:rsidR="00BB39DB" w:rsidRDefault="00294AAB" w:rsidP="00BB39DB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drawing>
          <wp:inline distT="0" distB="0" distL="0" distR="0" wp14:anchorId="37C86CF0" wp14:editId="1B499FE6">
            <wp:extent cx="2164409" cy="2257425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967" cy="226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0A40" w14:textId="174CEB07" w:rsidR="00BB39DB" w:rsidRPr="00A36700" w:rsidRDefault="00BB39DB" w:rsidP="004275FC">
      <w:pPr>
        <w:spacing w:line="280" w:lineRule="atLeast"/>
        <w:rPr>
          <w:rFonts w:ascii="Verdana" w:hAnsi="Verdana"/>
          <w:i/>
          <w:iCs/>
        </w:rPr>
      </w:pPr>
      <w:r w:rsidRPr="00A36700">
        <w:rPr>
          <w:rFonts w:ascii="Verdana" w:hAnsi="Verdana"/>
          <w:i/>
          <w:iCs/>
        </w:rPr>
        <w:t>Besonders bei Aufstockung</w:t>
      </w:r>
      <w:r w:rsidR="00A36700">
        <w:rPr>
          <w:rFonts w:ascii="Verdana" w:hAnsi="Verdana"/>
          <w:i/>
          <w:iCs/>
        </w:rPr>
        <w:t>en</w:t>
      </w:r>
      <w:r w:rsidRPr="00A36700">
        <w:rPr>
          <w:rFonts w:ascii="Verdana" w:hAnsi="Verdana"/>
          <w:i/>
          <w:iCs/>
        </w:rPr>
        <w:t xml:space="preserve"> und energetischen Sanierungen ermöglicht HECK Holzbau A2 effiziente Lösungen ohne Kompromisse beim Brandschutz. (Bild: Heck Wall Systems)</w:t>
      </w:r>
    </w:p>
    <w:p w14:paraId="41C61D3D" w14:textId="77777777" w:rsidR="00BB39DB" w:rsidRDefault="00BB39DB" w:rsidP="004275FC">
      <w:pPr>
        <w:rPr>
          <w:rFonts w:ascii="Verdana" w:hAnsi="Verdana"/>
        </w:rPr>
      </w:pPr>
    </w:p>
    <w:p w14:paraId="40BC7C49" w14:textId="77777777" w:rsidR="00BB39DB" w:rsidRPr="00BB39DB" w:rsidRDefault="00BB39DB" w:rsidP="004275FC">
      <w:pPr>
        <w:rPr>
          <w:rFonts w:ascii="Verdana" w:hAnsi="Verdana"/>
        </w:rPr>
      </w:pPr>
    </w:p>
    <w:p w14:paraId="018433E0" w14:textId="77777777" w:rsidR="00A36700" w:rsidRDefault="00A36700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2E81D326" w14:textId="77777777" w:rsidR="00A36700" w:rsidRDefault="00A36700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790EEE92" w14:textId="77777777" w:rsidR="00A36700" w:rsidRDefault="00A36700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00B179D1" w14:textId="7C9B7CBE" w:rsidR="00BB39DB" w:rsidRPr="001C6BF0" w:rsidRDefault="00BB39DB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HECK_Holzbau_A2_Verarbeitung_01</w:t>
      </w:r>
    </w:p>
    <w:p w14:paraId="339B06FE" w14:textId="77777777" w:rsidR="00BB39DB" w:rsidRDefault="00BB39DB" w:rsidP="00BB39DB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355EB2E1" wp14:editId="0D0138CF">
            <wp:extent cx="2181225" cy="1452660"/>
            <wp:effectExtent l="0" t="0" r="0" b="0"/>
            <wp:docPr id="18657513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02" cy="146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E8F5C" w14:textId="77777777" w:rsidR="00BB39DB" w:rsidRPr="00A36700" w:rsidRDefault="00BB39DB" w:rsidP="004275FC">
      <w:pPr>
        <w:spacing w:line="280" w:lineRule="atLeast"/>
        <w:rPr>
          <w:rFonts w:ascii="Verdana" w:hAnsi="Verdana"/>
          <w:i/>
          <w:iCs/>
        </w:rPr>
      </w:pPr>
      <w:r w:rsidRPr="00A36700">
        <w:rPr>
          <w:rFonts w:ascii="Verdana" w:hAnsi="Verdana"/>
          <w:i/>
          <w:iCs/>
        </w:rPr>
        <w:t>Die Verarbeitung des WDV-Systems erfolgt ganz klassisch. Der spezielle Klebemörtel wird auf den Holzuntergrund aufgebracht. (Bild: Heck Wall Systems)</w:t>
      </w:r>
    </w:p>
    <w:p w14:paraId="5D67FD5D" w14:textId="1C6EA759" w:rsidR="00BB39DB" w:rsidRPr="00BB39DB" w:rsidRDefault="00BB39DB" w:rsidP="004275FC">
      <w:pPr>
        <w:rPr>
          <w:rFonts w:ascii="Verdana" w:hAnsi="Verdana"/>
        </w:rPr>
      </w:pPr>
    </w:p>
    <w:p w14:paraId="62ECA4C6" w14:textId="77777777" w:rsidR="004275FC" w:rsidRDefault="004275FC" w:rsidP="004275FC">
      <w:pPr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4E8775DD" w14:textId="740D750A" w:rsidR="00BB39DB" w:rsidRPr="001C6BF0" w:rsidRDefault="00BB39DB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</w:p>
    <w:p w14:paraId="3DC171EE" w14:textId="77777777" w:rsidR="00BB39DB" w:rsidRDefault="00BB39DB" w:rsidP="00BB39DB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02ED133A" wp14:editId="5C074A1F">
            <wp:extent cx="2160000" cy="143852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87296" w14:textId="0490A443" w:rsidR="004E7715" w:rsidRPr="00A36700" w:rsidRDefault="00BB39DB" w:rsidP="009D6F29">
      <w:pPr>
        <w:spacing w:line="300" w:lineRule="atLeast"/>
        <w:rPr>
          <w:rFonts w:ascii="Verdana" w:hAnsi="Verdana"/>
          <w:i/>
          <w:iCs/>
        </w:rPr>
      </w:pPr>
      <w:r w:rsidRPr="00A36700">
        <w:rPr>
          <w:rFonts w:ascii="Verdana" w:hAnsi="Verdana"/>
          <w:i/>
          <w:iCs/>
        </w:rPr>
        <w:t>Anschließend werden die Dämmplatten angedrückt und eingeschwommen. (Bild: Heck Wall Systems)</w:t>
      </w:r>
    </w:p>
    <w:p w14:paraId="7464D628" w14:textId="77777777" w:rsidR="004275FC" w:rsidRDefault="004275FC" w:rsidP="004275FC">
      <w:pPr>
        <w:ind w:right="-40"/>
        <w:rPr>
          <w:rFonts w:ascii="Arial" w:hAnsi="Arial" w:cs="Arial"/>
          <w:b/>
          <w:bCs/>
          <w:iCs/>
          <w:sz w:val="22"/>
          <w:szCs w:val="22"/>
        </w:rPr>
      </w:pPr>
    </w:p>
    <w:p w14:paraId="73FB28AD" w14:textId="77777777" w:rsidR="004275FC" w:rsidRDefault="004275FC" w:rsidP="004275FC">
      <w:pPr>
        <w:ind w:right="-40"/>
        <w:rPr>
          <w:rFonts w:ascii="Arial" w:hAnsi="Arial" w:cs="Arial"/>
          <w:b/>
          <w:bCs/>
          <w:iCs/>
          <w:sz w:val="22"/>
          <w:szCs w:val="22"/>
        </w:rPr>
      </w:pPr>
    </w:p>
    <w:p w14:paraId="4A5785C2" w14:textId="434FEFC0" w:rsidR="00BB39DB" w:rsidRPr="001C6BF0" w:rsidRDefault="00BB39DB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1AB34E67" w14:textId="77777777" w:rsidR="00BB39DB" w:rsidRDefault="00BB39DB" w:rsidP="00BB39DB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1EB36DFE" wp14:editId="648F74E0">
            <wp:extent cx="2171700" cy="1446317"/>
            <wp:effectExtent l="0" t="0" r="0" b="1905"/>
            <wp:docPr id="63977380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14" cy="145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DBB4" w14:textId="77777777" w:rsidR="00BB39DB" w:rsidRPr="00A36700" w:rsidRDefault="00BB39DB" w:rsidP="009D6F29">
      <w:pPr>
        <w:spacing w:line="300" w:lineRule="atLeast"/>
        <w:rPr>
          <w:rFonts w:ascii="Verdana" w:hAnsi="Verdana"/>
          <w:i/>
          <w:iCs/>
        </w:rPr>
      </w:pPr>
      <w:r w:rsidRPr="00A36700">
        <w:rPr>
          <w:rFonts w:ascii="Verdana" w:hAnsi="Verdana"/>
          <w:i/>
          <w:iCs/>
        </w:rPr>
        <w:t>Die Verdübelung erfolgt mittels Schraubdübel. (Bild: Heck Wall Systems)</w:t>
      </w:r>
    </w:p>
    <w:p w14:paraId="53AAD03C" w14:textId="77777777" w:rsidR="00BB39DB" w:rsidRPr="00BB39DB" w:rsidRDefault="00BB39DB" w:rsidP="00BB39DB">
      <w:pPr>
        <w:spacing w:before="60" w:line="300" w:lineRule="atLeast"/>
        <w:rPr>
          <w:rFonts w:ascii="Verdana" w:hAnsi="Verdana"/>
        </w:rPr>
      </w:pPr>
    </w:p>
    <w:p w14:paraId="294F247D" w14:textId="6CAD80F9" w:rsidR="00BB39DB" w:rsidRPr="001C6BF0" w:rsidRDefault="00BB39DB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</w:p>
    <w:p w14:paraId="5C37A4D4" w14:textId="77777777" w:rsidR="00BB39DB" w:rsidRDefault="00BB39DB" w:rsidP="00BB39DB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E8399C7" wp14:editId="49AF506B">
            <wp:extent cx="2160000" cy="143852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36324" w14:textId="78207169" w:rsidR="00BB39DB" w:rsidRPr="00A36700" w:rsidRDefault="00BB39DB" w:rsidP="009D6F29">
      <w:pPr>
        <w:spacing w:line="300" w:lineRule="atLeast"/>
        <w:rPr>
          <w:rFonts w:ascii="Verdana" w:hAnsi="Verdana"/>
          <w:i/>
          <w:iCs/>
        </w:rPr>
      </w:pPr>
      <w:r w:rsidRPr="00A36700">
        <w:rPr>
          <w:rFonts w:ascii="Verdana" w:hAnsi="Verdana"/>
          <w:i/>
          <w:iCs/>
        </w:rPr>
        <w:lastRenderedPageBreak/>
        <w:t>Danach wird die Gewebearmierung vorgenommen. (Bild: Heck Wall Systems)</w:t>
      </w:r>
    </w:p>
    <w:p w14:paraId="5CA70DE3" w14:textId="5739C3B2" w:rsidR="00BB39DB" w:rsidRPr="001C6BF0" w:rsidRDefault="00BB39DB" w:rsidP="00BB39DB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0FCC9941" w14:textId="77777777" w:rsidR="00BB39DB" w:rsidRDefault="00BB39DB" w:rsidP="00BB39DB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5ACECB7" wp14:editId="36020C23">
            <wp:extent cx="2114550" cy="1408256"/>
            <wp:effectExtent l="0" t="0" r="0" b="1905"/>
            <wp:docPr id="96721553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74" cy="141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C05A2" w14:textId="77777777" w:rsidR="00BB39DB" w:rsidRPr="00A36700" w:rsidRDefault="00BB39DB" w:rsidP="009D6F29">
      <w:pPr>
        <w:spacing w:line="300" w:lineRule="atLeast"/>
        <w:rPr>
          <w:rFonts w:ascii="Verdana" w:hAnsi="Verdana"/>
          <w:i/>
          <w:iCs/>
        </w:rPr>
      </w:pPr>
      <w:r w:rsidRPr="00A36700">
        <w:rPr>
          <w:rFonts w:ascii="Verdana" w:hAnsi="Verdana"/>
          <w:i/>
          <w:iCs/>
        </w:rPr>
        <w:t>Abschließend erfolgt der Auftrag eines Oberputzes. (Bild: Heck Wall Systems)</w:t>
      </w:r>
    </w:p>
    <w:p w14:paraId="4603D9A7" w14:textId="77777777" w:rsidR="00BB39DB" w:rsidRPr="00BB39DB" w:rsidRDefault="00BB39DB" w:rsidP="00BB39DB">
      <w:pPr>
        <w:spacing w:before="60" w:line="300" w:lineRule="atLeast"/>
        <w:rPr>
          <w:rFonts w:ascii="Verdana" w:hAnsi="Verdana"/>
        </w:rPr>
      </w:pPr>
    </w:p>
    <w:p w14:paraId="57002D15" w14:textId="299DFD20" w:rsidR="00960449" w:rsidRPr="00597AFD" w:rsidRDefault="00960449" w:rsidP="009F32D9">
      <w:pPr>
        <w:pStyle w:val="Textkrper3"/>
        <w:spacing w:after="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>----------------------------------------------------------------------------</w:t>
      </w:r>
      <w:r w:rsidR="008946AB">
        <w:rPr>
          <w:b w:val="0"/>
          <w:i/>
          <w:color w:val="000000"/>
        </w:rPr>
        <w:t>-----</w:t>
      </w:r>
    </w:p>
    <w:p w14:paraId="44140D6A" w14:textId="77777777" w:rsidR="00960449" w:rsidRPr="00597AFD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4CFCCFD2" w14:textId="77777777" w:rsidR="006D51A9" w:rsidRPr="00597AFD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 xml:space="preserve">HECK Wall Systems GmbH &amp; Co. KG </w:t>
      </w:r>
    </w:p>
    <w:p w14:paraId="19BD7DA3" w14:textId="77777777" w:rsidR="006D51A9" w:rsidRPr="00597AFD" w:rsidRDefault="006D51A9" w:rsidP="00960449">
      <w:pPr>
        <w:pStyle w:val="Textkrper3"/>
        <w:spacing w:after="6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>Thölauer Straße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15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16" w:history="1">
        <w:r>
          <w:rPr>
            <w:rStyle w:val="Hyperlink"/>
            <w:b w:val="0"/>
            <w:i/>
          </w:rPr>
          <w:t>www.facebook.com/wallsystems</w:t>
        </w:r>
      </w:hyperlink>
    </w:p>
    <w:p w14:paraId="0D89C907" w14:textId="77777777" w:rsidR="006D51A9" w:rsidRPr="00597AFD" w:rsidRDefault="006D51A9" w:rsidP="00960449">
      <w:pPr>
        <w:pStyle w:val="Textkrper3"/>
        <w:spacing w:after="60"/>
        <w:contextualSpacing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 xml:space="preserve">YouTube: </w:t>
      </w:r>
      <w:hyperlink r:id="rId17" w:history="1">
        <w:r w:rsidRPr="00597AFD">
          <w:rPr>
            <w:rStyle w:val="Hyperlink"/>
            <w:b w:val="0"/>
            <w:i/>
          </w:rPr>
          <w:t>www.youtube.com/wallsystems</w:t>
        </w:r>
      </w:hyperlink>
    </w:p>
    <w:p w14:paraId="2DAF9EA9" w14:textId="77777777" w:rsidR="00960449" w:rsidRPr="00597AFD" w:rsidRDefault="0096044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14:paraId="1B2853AB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751E93D8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11AC5AC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 xml:space="preserve">Kettelerstraße </w:t>
      </w:r>
      <w:r>
        <w:rPr>
          <w:rFonts w:ascii="Verdana" w:hAnsi="Verdana" w:cs="Arial"/>
          <w:bCs/>
          <w:sz w:val="21"/>
          <w:szCs w:val="21"/>
        </w:rPr>
        <w:t>5</w:t>
      </w:r>
    </w:p>
    <w:p w14:paraId="6B1E293B" w14:textId="77777777" w:rsidR="009A6C15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7F209CCA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+49 (0)9365 88 78 02 0</w:t>
      </w:r>
    </w:p>
    <w:p w14:paraId="00997947" w14:textId="212BE201" w:rsidR="002B7044" w:rsidRPr="00976E6A" w:rsidRDefault="009A6C15" w:rsidP="00976E6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76E6A">
        <w:rPr>
          <w:rFonts w:ascii="Verdana" w:hAnsi="Verdana" w:cs="Arial"/>
          <w:bCs/>
          <w:sz w:val="21"/>
          <w:szCs w:val="21"/>
        </w:rPr>
        <w:t>mail@pr-jaeger.de</w:t>
      </w:r>
    </w:p>
    <w:sectPr w:rsidR="002B7044" w:rsidRPr="00976E6A" w:rsidSect="00E93F7B">
      <w:headerReference w:type="default" r:id="rId18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842824">
    <w:abstractNumId w:val="1"/>
  </w:num>
  <w:num w:numId="2" w16cid:durableId="1005398233">
    <w:abstractNumId w:val="0"/>
  </w:num>
  <w:num w:numId="3" w16cid:durableId="5119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672"/>
    <w:rsid w:val="0000485A"/>
    <w:rsid w:val="00004B3A"/>
    <w:rsid w:val="0000624A"/>
    <w:rsid w:val="000073A7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81962"/>
    <w:rsid w:val="0008437B"/>
    <w:rsid w:val="000A34DB"/>
    <w:rsid w:val="000B241B"/>
    <w:rsid w:val="000C117A"/>
    <w:rsid w:val="000C2FF1"/>
    <w:rsid w:val="000C60DD"/>
    <w:rsid w:val="000C7B95"/>
    <w:rsid w:val="000E4113"/>
    <w:rsid w:val="000E5287"/>
    <w:rsid w:val="000E63FF"/>
    <w:rsid w:val="000F18BA"/>
    <w:rsid w:val="000F679C"/>
    <w:rsid w:val="001015D9"/>
    <w:rsid w:val="00114C5F"/>
    <w:rsid w:val="001166D5"/>
    <w:rsid w:val="00127762"/>
    <w:rsid w:val="00140216"/>
    <w:rsid w:val="00143D30"/>
    <w:rsid w:val="0014516E"/>
    <w:rsid w:val="00146DCF"/>
    <w:rsid w:val="00152611"/>
    <w:rsid w:val="00152CD8"/>
    <w:rsid w:val="001538C4"/>
    <w:rsid w:val="00157F37"/>
    <w:rsid w:val="001612F5"/>
    <w:rsid w:val="00162887"/>
    <w:rsid w:val="001630A6"/>
    <w:rsid w:val="00166D22"/>
    <w:rsid w:val="00171E28"/>
    <w:rsid w:val="00173441"/>
    <w:rsid w:val="001760EB"/>
    <w:rsid w:val="00183A9B"/>
    <w:rsid w:val="00184C5E"/>
    <w:rsid w:val="00195A8A"/>
    <w:rsid w:val="00197DDE"/>
    <w:rsid w:val="001A310B"/>
    <w:rsid w:val="001A74F1"/>
    <w:rsid w:val="001B48FA"/>
    <w:rsid w:val="001B62CF"/>
    <w:rsid w:val="001C0EB1"/>
    <w:rsid w:val="001C262E"/>
    <w:rsid w:val="001C28D2"/>
    <w:rsid w:val="001C54E2"/>
    <w:rsid w:val="001D0D13"/>
    <w:rsid w:val="001E1AE7"/>
    <w:rsid w:val="001E236C"/>
    <w:rsid w:val="001E2FD0"/>
    <w:rsid w:val="001E7B52"/>
    <w:rsid w:val="002056CF"/>
    <w:rsid w:val="00211C6D"/>
    <w:rsid w:val="00212CBD"/>
    <w:rsid w:val="00225646"/>
    <w:rsid w:val="00225F52"/>
    <w:rsid w:val="0022631B"/>
    <w:rsid w:val="0022673A"/>
    <w:rsid w:val="00237983"/>
    <w:rsid w:val="00242DB4"/>
    <w:rsid w:val="002437EA"/>
    <w:rsid w:val="0024413F"/>
    <w:rsid w:val="0024574A"/>
    <w:rsid w:val="00247700"/>
    <w:rsid w:val="00251274"/>
    <w:rsid w:val="00254E63"/>
    <w:rsid w:val="00255390"/>
    <w:rsid w:val="00260F48"/>
    <w:rsid w:val="00264595"/>
    <w:rsid w:val="00273064"/>
    <w:rsid w:val="00276C38"/>
    <w:rsid w:val="002827BC"/>
    <w:rsid w:val="00292F86"/>
    <w:rsid w:val="00293DFE"/>
    <w:rsid w:val="002940C9"/>
    <w:rsid w:val="00294AAB"/>
    <w:rsid w:val="0029564E"/>
    <w:rsid w:val="002964E1"/>
    <w:rsid w:val="00297909"/>
    <w:rsid w:val="002A2CF6"/>
    <w:rsid w:val="002A568A"/>
    <w:rsid w:val="002B02DD"/>
    <w:rsid w:val="002B06A8"/>
    <w:rsid w:val="002B7044"/>
    <w:rsid w:val="002C00AE"/>
    <w:rsid w:val="002C7F0E"/>
    <w:rsid w:val="002D4DBA"/>
    <w:rsid w:val="002E19D3"/>
    <w:rsid w:val="002E2211"/>
    <w:rsid w:val="002F45F5"/>
    <w:rsid w:val="002F7681"/>
    <w:rsid w:val="00301BA0"/>
    <w:rsid w:val="003052ED"/>
    <w:rsid w:val="003073CD"/>
    <w:rsid w:val="00310958"/>
    <w:rsid w:val="003124DE"/>
    <w:rsid w:val="003256BD"/>
    <w:rsid w:val="00326E25"/>
    <w:rsid w:val="00327004"/>
    <w:rsid w:val="00327EB5"/>
    <w:rsid w:val="00331159"/>
    <w:rsid w:val="00331BDE"/>
    <w:rsid w:val="00337C56"/>
    <w:rsid w:val="0035361D"/>
    <w:rsid w:val="00360AD6"/>
    <w:rsid w:val="003643EA"/>
    <w:rsid w:val="003703BB"/>
    <w:rsid w:val="00376A80"/>
    <w:rsid w:val="0038056C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E0850"/>
    <w:rsid w:val="003E2D3C"/>
    <w:rsid w:val="003E3FDF"/>
    <w:rsid w:val="003F7816"/>
    <w:rsid w:val="004072ED"/>
    <w:rsid w:val="004073A0"/>
    <w:rsid w:val="00411E33"/>
    <w:rsid w:val="00421AA8"/>
    <w:rsid w:val="00426A95"/>
    <w:rsid w:val="0042718E"/>
    <w:rsid w:val="004275FC"/>
    <w:rsid w:val="00433335"/>
    <w:rsid w:val="004366A1"/>
    <w:rsid w:val="004610DB"/>
    <w:rsid w:val="00463ADF"/>
    <w:rsid w:val="00463E34"/>
    <w:rsid w:val="0046450F"/>
    <w:rsid w:val="00466DCA"/>
    <w:rsid w:val="0047112C"/>
    <w:rsid w:val="00471608"/>
    <w:rsid w:val="004773AB"/>
    <w:rsid w:val="0048409C"/>
    <w:rsid w:val="00490E5A"/>
    <w:rsid w:val="00492C18"/>
    <w:rsid w:val="004964EF"/>
    <w:rsid w:val="004A6A40"/>
    <w:rsid w:val="004A6DF6"/>
    <w:rsid w:val="004B420D"/>
    <w:rsid w:val="004B7852"/>
    <w:rsid w:val="004C1E08"/>
    <w:rsid w:val="004C6AF2"/>
    <w:rsid w:val="004C7BAB"/>
    <w:rsid w:val="004D431B"/>
    <w:rsid w:val="004E12B9"/>
    <w:rsid w:val="004E1957"/>
    <w:rsid w:val="004E1BA9"/>
    <w:rsid w:val="004E56D8"/>
    <w:rsid w:val="004E5A63"/>
    <w:rsid w:val="004E7715"/>
    <w:rsid w:val="004F70D1"/>
    <w:rsid w:val="005057D3"/>
    <w:rsid w:val="00506203"/>
    <w:rsid w:val="005069D5"/>
    <w:rsid w:val="0050727B"/>
    <w:rsid w:val="00507BE4"/>
    <w:rsid w:val="005166FC"/>
    <w:rsid w:val="00516B55"/>
    <w:rsid w:val="00522289"/>
    <w:rsid w:val="00522C73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5414A"/>
    <w:rsid w:val="0056560F"/>
    <w:rsid w:val="00573ACF"/>
    <w:rsid w:val="00575866"/>
    <w:rsid w:val="00580C4F"/>
    <w:rsid w:val="00584EB9"/>
    <w:rsid w:val="00590EA6"/>
    <w:rsid w:val="00593EA1"/>
    <w:rsid w:val="00597AFD"/>
    <w:rsid w:val="005A33F3"/>
    <w:rsid w:val="005A4EA2"/>
    <w:rsid w:val="005A7E19"/>
    <w:rsid w:val="005B7276"/>
    <w:rsid w:val="005C4B3A"/>
    <w:rsid w:val="005D2D25"/>
    <w:rsid w:val="005D6891"/>
    <w:rsid w:val="005E7E2B"/>
    <w:rsid w:val="005F1892"/>
    <w:rsid w:val="005F54AD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67EF2"/>
    <w:rsid w:val="0067042C"/>
    <w:rsid w:val="0067095C"/>
    <w:rsid w:val="006740C2"/>
    <w:rsid w:val="006806B0"/>
    <w:rsid w:val="00690A6D"/>
    <w:rsid w:val="006919C5"/>
    <w:rsid w:val="00695AE9"/>
    <w:rsid w:val="00697EF6"/>
    <w:rsid w:val="006A5F97"/>
    <w:rsid w:val="006A7A69"/>
    <w:rsid w:val="006B62AF"/>
    <w:rsid w:val="006C6D3B"/>
    <w:rsid w:val="006C6F07"/>
    <w:rsid w:val="006D51A9"/>
    <w:rsid w:val="006E3D0D"/>
    <w:rsid w:val="006E5E7F"/>
    <w:rsid w:val="006E7933"/>
    <w:rsid w:val="006F030A"/>
    <w:rsid w:val="006F3003"/>
    <w:rsid w:val="00701898"/>
    <w:rsid w:val="007054A6"/>
    <w:rsid w:val="00706713"/>
    <w:rsid w:val="00712408"/>
    <w:rsid w:val="00713C82"/>
    <w:rsid w:val="00715945"/>
    <w:rsid w:val="00716F1A"/>
    <w:rsid w:val="007204FB"/>
    <w:rsid w:val="00725073"/>
    <w:rsid w:val="007318B8"/>
    <w:rsid w:val="0073569E"/>
    <w:rsid w:val="0074404D"/>
    <w:rsid w:val="0075598D"/>
    <w:rsid w:val="00756CFF"/>
    <w:rsid w:val="007624D4"/>
    <w:rsid w:val="00766CCE"/>
    <w:rsid w:val="00771129"/>
    <w:rsid w:val="00780B59"/>
    <w:rsid w:val="00785258"/>
    <w:rsid w:val="00786F4A"/>
    <w:rsid w:val="00793A8F"/>
    <w:rsid w:val="00795793"/>
    <w:rsid w:val="007A1275"/>
    <w:rsid w:val="007B40A1"/>
    <w:rsid w:val="007C262C"/>
    <w:rsid w:val="007C5DB0"/>
    <w:rsid w:val="007D4E77"/>
    <w:rsid w:val="007D57DF"/>
    <w:rsid w:val="007E021D"/>
    <w:rsid w:val="007E426A"/>
    <w:rsid w:val="007E5AFB"/>
    <w:rsid w:val="007F15F3"/>
    <w:rsid w:val="007F1B88"/>
    <w:rsid w:val="008002E5"/>
    <w:rsid w:val="00801495"/>
    <w:rsid w:val="00806FA6"/>
    <w:rsid w:val="008102BF"/>
    <w:rsid w:val="0081377F"/>
    <w:rsid w:val="00820B59"/>
    <w:rsid w:val="00821355"/>
    <w:rsid w:val="008309F6"/>
    <w:rsid w:val="00836677"/>
    <w:rsid w:val="0083735B"/>
    <w:rsid w:val="00837C60"/>
    <w:rsid w:val="00843A95"/>
    <w:rsid w:val="008540F6"/>
    <w:rsid w:val="0085633E"/>
    <w:rsid w:val="008569CB"/>
    <w:rsid w:val="00875F18"/>
    <w:rsid w:val="008860C4"/>
    <w:rsid w:val="008946AB"/>
    <w:rsid w:val="00896CC4"/>
    <w:rsid w:val="008A0484"/>
    <w:rsid w:val="008A1ABC"/>
    <w:rsid w:val="008B14F2"/>
    <w:rsid w:val="008B4D27"/>
    <w:rsid w:val="008C1880"/>
    <w:rsid w:val="008C22A1"/>
    <w:rsid w:val="008C569B"/>
    <w:rsid w:val="008C61C1"/>
    <w:rsid w:val="008C6C96"/>
    <w:rsid w:val="008D7348"/>
    <w:rsid w:val="008E2372"/>
    <w:rsid w:val="008F1033"/>
    <w:rsid w:val="008F2A1F"/>
    <w:rsid w:val="008F2AB5"/>
    <w:rsid w:val="008F512C"/>
    <w:rsid w:val="009046AA"/>
    <w:rsid w:val="00906504"/>
    <w:rsid w:val="0091042B"/>
    <w:rsid w:val="00913D25"/>
    <w:rsid w:val="00921EA4"/>
    <w:rsid w:val="0092701C"/>
    <w:rsid w:val="00927643"/>
    <w:rsid w:val="009355D7"/>
    <w:rsid w:val="00942164"/>
    <w:rsid w:val="009432C5"/>
    <w:rsid w:val="00943ABC"/>
    <w:rsid w:val="00944A0F"/>
    <w:rsid w:val="00945333"/>
    <w:rsid w:val="0094791D"/>
    <w:rsid w:val="00950BF6"/>
    <w:rsid w:val="00960449"/>
    <w:rsid w:val="00960881"/>
    <w:rsid w:val="00961222"/>
    <w:rsid w:val="00971144"/>
    <w:rsid w:val="00976E6A"/>
    <w:rsid w:val="009813A6"/>
    <w:rsid w:val="00984F6D"/>
    <w:rsid w:val="00992107"/>
    <w:rsid w:val="009A1976"/>
    <w:rsid w:val="009A2F17"/>
    <w:rsid w:val="009A6C15"/>
    <w:rsid w:val="009A7BCB"/>
    <w:rsid w:val="009B5C74"/>
    <w:rsid w:val="009B6B3B"/>
    <w:rsid w:val="009C31E6"/>
    <w:rsid w:val="009C6932"/>
    <w:rsid w:val="009D08B5"/>
    <w:rsid w:val="009D6F29"/>
    <w:rsid w:val="009E71B3"/>
    <w:rsid w:val="009F32D9"/>
    <w:rsid w:val="009F46E4"/>
    <w:rsid w:val="00A101DD"/>
    <w:rsid w:val="00A12FFB"/>
    <w:rsid w:val="00A13537"/>
    <w:rsid w:val="00A22410"/>
    <w:rsid w:val="00A32239"/>
    <w:rsid w:val="00A3452B"/>
    <w:rsid w:val="00A36700"/>
    <w:rsid w:val="00A379A6"/>
    <w:rsid w:val="00A415EF"/>
    <w:rsid w:val="00A50259"/>
    <w:rsid w:val="00A602C4"/>
    <w:rsid w:val="00A6489E"/>
    <w:rsid w:val="00A72C65"/>
    <w:rsid w:val="00A823B3"/>
    <w:rsid w:val="00A857B1"/>
    <w:rsid w:val="00A85C00"/>
    <w:rsid w:val="00A90E69"/>
    <w:rsid w:val="00AA6CB2"/>
    <w:rsid w:val="00AA74F3"/>
    <w:rsid w:val="00AB12EB"/>
    <w:rsid w:val="00AB3271"/>
    <w:rsid w:val="00AC3745"/>
    <w:rsid w:val="00AC4030"/>
    <w:rsid w:val="00AC4F0D"/>
    <w:rsid w:val="00AD4096"/>
    <w:rsid w:val="00AE0C2B"/>
    <w:rsid w:val="00AF4744"/>
    <w:rsid w:val="00AF7114"/>
    <w:rsid w:val="00B02C15"/>
    <w:rsid w:val="00B02FD8"/>
    <w:rsid w:val="00B034A5"/>
    <w:rsid w:val="00B0735B"/>
    <w:rsid w:val="00B147BD"/>
    <w:rsid w:val="00B16EF1"/>
    <w:rsid w:val="00B17D5F"/>
    <w:rsid w:val="00B232DF"/>
    <w:rsid w:val="00B262E1"/>
    <w:rsid w:val="00B40ADB"/>
    <w:rsid w:val="00B43327"/>
    <w:rsid w:val="00B526B4"/>
    <w:rsid w:val="00B54E2C"/>
    <w:rsid w:val="00B55573"/>
    <w:rsid w:val="00B55E3D"/>
    <w:rsid w:val="00B64C86"/>
    <w:rsid w:val="00B663D1"/>
    <w:rsid w:val="00B74547"/>
    <w:rsid w:val="00B74640"/>
    <w:rsid w:val="00B75BC0"/>
    <w:rsid w:val="00B84D8E"/>
    <w:rsid w:val="00B85164"/>
    <w:rsid w:val="00B85CBE"/>
    <w:rsid w:val="00B97EF7"/>
    <w:rsid w:val="00BA17A0"/>
    <w:rsid w:val="00BA1C00"/>
    <w:rsid w:val="00BA53DC"/>
    <w:rsid w:val="00BB39DB"/>
    <w:rsid w:val="00BC13E7"/>
    <w:rsid w:val="00BC21C4"/>
    <w:rsid w:val="00BD3583"/>
    <w:rsid w:val="00BD3C01"/>
    <w:rsid w:val="00BD69EB"/>
    <w:rsid w:val="00BD72F5"/>
    <w:rsid w:val="00BD7EDD"/>
    <w:rsid w:val="00BE22EE"/>
    <w:rsid w:val="00BE44AD"/>
    <w:rsid w:val="00BE7E33"/>
    <w:rsid w:val="00BF17A7"/>
    <w:rsid w:val="00BF2AC8"/>
    <w:rsid w:val="00BF45EC"/>
    <w:rsid w:val="00BF7303"/>
    <w:rsid w:val="00C11987"/>
    <w:rsid w:val="00C13423"/>
    <w:rsid w:val="00C20057"/>
    <w:rsid w:val="00C20F27"/>
    <w:rsid w:val="00C21056"/>
    <w:rsid w:val="00C23EB8"/>
    <w:rsid w:val="00C333AD"/>
    <w:rsid w:val="00C417AC"/>
    <w:rsid w:val="00C418D4"/>
    <w:rsid w:val="00C428C0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A47ED"/>
    <w:rsid w:val="00CA6815"/>
    <w:rsid w:val="00CB1CF3"/>
    <w:rsid w:val="00CB411C"/>
    <w:rsid w:val="00CB7EA6"/>
    <w:rsid w:val="00CC2D71"/>
    <w:rsid w:val="00CD1D82"/>
    <w:rsid w:val="00CD559B"/>
    <w:rsid w:val="00CD561E"/>
    <w:rsid w:val="00CE31C1"/>
    <w:rsid w:val="00CE3A02"/>
    <w:rsid w:val="00CE5972"/>
    <w:rsid w:val="00CF479D"/>
    <w:rsid w:val="00CF78A1"/>
    <w:rsid w:val="00D04371"/>
    <w:rsid w:val="00D11322"/>
    <w:rsid w:val="00D22505"/>
    <w:rsid w:val="00D2358C"/>
    <w:rsid w:val="00D459C6"/>
    <w:rsid w:val="00D519BA"/>
    <w:rsid w:val="00D536A7"/>
    <w:rsid w:val="00D567D6"/>
    <w:rsid w:val="00D60FC9"/>
    <w:rsid w:val="00D64B22"/>
    <w:rsid w:val="00D64CF9"/>
    <w:rsid w:val="00D6519A"/>
    <w:rsid w:val="00D6750A"/>
    <w:rsid w:val="00D7111B"/>
    <w:rsid w:val="00D7124B"/>
    <w:rsid w:val="00D71BA1"/>
    <w:rsid w:val="00D76356"/>
    <w:rsid w:val="00D83841"/>
    <w:rsid w:val="00D85F31"/>
    <w:rsid w:val="00D86D2F"/>
    <w:rsid w:val="00DA15C0"/>
    <w:rsid w:val="00DB237E"/>
    <w:rsid w:val="00DB499D"/>
    <w:rsid w:val="00DB7DF6"/>
    <w:rsid w:val="00DC0BE1"/>
    <w:rsid w:val="00DC31F0"/>
    <w:rsid w:val="00DD2D6A"/>
    <w:rsid w:val="00DD5B7A"/>
    <w:rsid w:val="00DE6546"/>
    <w:rsid w:val="00DF0ECC"/>
    <w:rsid w:val="00DF2850"/>
    <w:rsid w:val="00DF3D37"/>
    <w:rsid w:val="00DF4E43"/>
    <w:rsid w:val="00E015C6"/>
    <w:rsid w:val="00E026BD"/>
    <w:rsid w:val="00E06F36"/>
    <w:rsid w:val="00E07D23"/>
    <w:rsid w:val="00E126C2"/>
    <w:rsid w:val="00E128B5"/>
    <w:rsid w:val="00E23537"/>
    <w:rsid w:val="00E33D60"/>
    <w:rsid w:val="00E463DD"/>
    <w:rsid w:val="00E46DF5"/>
    <w:rsid w:val="00E52311"/>
    <w:rsid w:val="00E54D76"/>
    <w:rsid w:val="00E57498"/>
    <w:rsid w:val="00E617EF"/>
    <w:rsid w:val="00E64BEB"/>
    <w:rsid w:val="00E64DF5"/>
    <w:rsid w:val="00E854F9"/>
    <w:rsid w:val="00E92D81"/>
    <w:rsid w:val="00E93F7B"/>
    <w:rsid w:val="00EA0A0F"/>
    <w:rsid w:val="00EA2F8A"/>
    <w:rsid w:val="00EA3F4F"/>
    <w:rsid w:val="00EA6E6C"/>
    <w:rsid w:val="00EB0046"/>
    <w:rsid w:val="00EB07F6"/>
    <w:rsid w:val="00EB0845"/>
    <w:rsid w:val="00EB7989"/>
    <w:rsid w:val="00EC58C9"/>
    <w:rsid w:val="00EC6213"/>
    <w:rsid w:val="00ED59A1"/>
    <w:rsid w:val="00EF524B"/>
    <w:rsid w:val="00EF5436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781C"/>
    <w:rsid w:val="00F53704"/>
    <w:rsid w:val="00F54FDF"/>
    <w:rsid w:val="00F5708C"/>
    <w:rsid w:val="00F605C7"/>
    <w:rsid w:val="00F6451C"/>
    <w:rsid w:val="00F6722D"/>
    <w:rsid w:val="00F76BBD"/>
    <w:rsid w:val="00F7783D"/>
    <w:rsid w:val="00F808A7"/>
    <w:rsid w:val="00F81D1B"/>
    <w:rsid w:val="00F87BB1"/>
    <w:rsid w:val="00F93749"/>
    <w:rsid w:val="00FA11FB"/>
    <w:rsid w:val="00FA14F4"/>
    <w:rsid w:val="00FA4CE7"/>
    <w:rsid w:val="00FA67F6"/>
    <w:rsid w:val="00FA7057"/>
    <w:rsid w:val="00FB2298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617EF"/>
  </w:style>
  <w:style w:type="character" w:styleId="NichtaufgelsteErwhnung">
    <w:name w:val="Unresolved Mention"/>
    <w:basedOn w:val="Absatz-Standardschriftart"/>
    <w:uiPriority w:val="99"/>
    <w:semiHidden/>
    <w:unhideWhenUsed/>
    <w:rsid w:val="006A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1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youtube.com/wallsyste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wallsyste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wall-systems.com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F04E-0F46-4C62-9F85-87C5BFBD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4452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4966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Lang</cp:lastModifiedBy>
  <cp:revision>18</cp:revision>
  <cp:lastPrinted>2012-05-16T06:39:00Z</cp:lastPrinted>
  <dcterms:created xsi:type="dcterms:W3CDTF">2026-01-29T12:57:00Z</dcterms:created>
  <dcterms:modified xsi:type="dcterms:W3CDTF">2026-04-22T13:46:00Z</dcterms:modified>
</cp:coreProperties>
</file>